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DF8" w:rsidRPr="00C537A9" w:rsidRDefault="00C36DF8" w:rsidP="00C36DF8">
      <w:pPr>
        <w:jc w:val="center"/>
        <w:rPr>
          <w:bCs/>
          <w:sz w:val="32"/>
          <w:szCs w:val="24"/>
        </w:rPr>
      </w:pPr>
      <w:r w:rsidRPr="00C537A9">
        <w:rPr>
          <w:bCs/>
          <w:sz w:val="32"/>
          <w:szCs w:val="24"/>
        </w:rPr>
        <w:t>Study Guide</w:t>
      </w:r>
    </w:p>
    <w:p w:rsidR="00C36DF8" w:rsidRPr="00C537A9" w:rsidRDefault="00B404EF" w:rsidP="00C36DF8">
      <w:pPr>
        <w:jc w:val="center"/>
        <w:rPr>
          <w:b/>
          <w:bCs/>
          <w:sz w:val="32"/>
          <w:szCs w:val="24"/>
        </w:rPr>
      </w:pPr>
      <w:r>
        <w:rPr>
          <w:b/>
          <w:bCs/>
          <w:sz w:val="32"/>
          <w:szCs w:val="24"/>
        </w:rPr>
        <w:t>Venous Thromboe</w:t>
      </w:r>
      <w:r w:rsidR="00467A84">
        <w:rPr>
          <w:b/>
          <w:bCs/>
          <w:sz w:val="32"/>
          <w:szCs w:val="24"/>
        </w:rPr>
        <w:t>mbolism (VTE)</w:t>
      </w:r>
    </w:p>
    <w:p w:rsidR="00C36DF8" w:rsidRDefault="00C36DF8" w:rsidP="00C36DF8">
      <w:pPr>
        <w:jc w:val="center"/>
        <w:rPr>
          <w:b/>
          <w:bCs/>
          <w:sz w:val="24"/>
          <w:szCs w:val="24"/>
        </w:rPr>
      </w:pPr>
    </w:p>
    <w:p w:rsidR="00C537A9" w:rsidRPr="00C537A9" w:rsidRDefault="00C537A9" w:rsidP="00C36DF8">
      <w:pPr>
        <w:jc w:val="center"/>
        <w:rPr>
          <w:b/>
          <w:bCs/>
          <w:sz w:val="24"/>
          <w:szCs w:val="24"/>
        </w:rPr>
      </w:pPr>
    </w:p>
    <w:p w:rsidR="00C537A9" w:rsidRPr="006C50DE" w:rsidRDefault="00C537A9"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t xml:space="preserve">Description </w:t>
      </w:r>
    </w:p>
    <w:p w:rsidR="00C537A9" w:rsidRPr="00C537A9" w:rsidRDefault="00C537A9" w:rsidP="00C537A9">
      <w:pPr>
        <w:outlineLvl w:val="2"/>
        <w:rPr>
          <w:rFonts w:eastAsia="Times New Roman" w:cs="Arial"/>
          <w:bCs/>
          <w:sz w:val="24"/>
          <w:szCs w:val="24"/>
          <w:u w:val="single"/>
          <w:lang w:val="en" w:eastAsia="en-GB"/>
        </w:rPr>
      </w:pPr>
    </w:p>
    <w:p w:rsidR="00C537A9" w:rsidRDefault="00C537A9" w:rsidP="00C537A9">
      <w:pPr>
        <w:rPr>
          <w:rFonts w:eastAsia="Times New Roman" w:cs="Arial"/>
          <w:sz w:val="24"/>
          <w:szCs w:val="24"/>
          <w:lang w:val="en" w:eastAsia="en-GB"/>
        </w:rPr>
      </w:pPr>
      <w:r w:rsidRPr="00C537A9">
        <w:rPr>
          <w:rFonts w:eastAsia="Times New Roman" w:cs="Arial"/>
          <w:sz w:val="24"/>
          <w:szCs w:val="24"/>
          <w:lang w:val="en" w:eastAsia="en-GB"/>
        </w:rPr>
        <w:t xml:space="preserve">This </w:t>
      </w:r>
      <w:r w:rsidR="00467A84">
        <w:rPr>
          <w:rFonts w:eastAsia="Times New Roman" w:cs="Arial"/>
          <w:sz w:val="24"/>
          <w:szCs w:val="24"/>
          <w:lang w:val="en" w:eastAsia="en-GB"/>
        </w:rPr>
        <w:t>guide</w:t>
      </w:r>
      <w:r w:rsidRPr="00C537A9">
        <w:rPr>
          <w:rFonts w:eastAsia="Times New Roman" w:cs="Arial"/>
          <w:sz w:val="24"/>
          <w:szCs w:val="24"/>
          <w:lang w:val="en" w:eastAsia="en-GB"/>
        </w:rPr>
        <w:t xml:space="preserve"> aims to provide a comprehensive overview of the important elements to consider in a systems-based approach to VTE prevention in an institutional setting. </w:t>
      </w:r>
    </w:p>
    <w:p w:rsidR="00C537A9" w:rsidRDefault="00C537A9" w:rsidP="00C537A9">
      <w:pPr>
        <w:rPr>
          <w:rFonts w:eastAsia="Times New Roman" w:cs="Arial"/>
          <w:sz w:val="24"/>
          <w:szCs w:val="24"/>
          <w:lang w:val="en" w:eastAsia="en-GB"/>
        </w:rPr>
      </w:pPr>
    </w:p>
    <w:p w:rsidR="00467A84" w:rsidRPr="00C537A9" w:rsidRDefault="00467A84" w:rsidP="00C537A9">
      <w:pPr>
        <w:rPr>
          <w:rFonts w:eastAsia="Times New Roman" w:cs="Arial"/>
          <w:sz w:val="24"/>
          <w:szCs w:val="24"/>
          <w:lang w:val="en" w:eastAsia="en-GB"/>
        </w:rPr>
      </w:pPr>
    </w:p>
    <w:p w:rsidR="00467A84" w:rsidRPr="00467A84" w:rsidRDefault="00467A84" w:rsidP="00467A84">
      <w:pPr>
        <w:outlineLvl w:val="2"/>
        <w:rPr>
          <w:rFonts w:eastAsia="Times New Roman" w:cs="Arial"/>
          <w:b/>
          <w:bCs/>
          <w:sz w:val="24"/>
          <w:szCs w:val="24"/>
          <w:lang w:val="en" w:eastAsia="en-GB"/>
        </w:rPr>
      </w:pPr>
      <w:r w:rsidRPr="00467A84">
        <w:rPr>
          <w:rFonts w:eastAsia="Times New Roman" w:cs="Arial"/>
          <w:b/>
          <w:bCs/>
          <w:sz w:val="24"/>
          <w:szCs w:val="24"/>
          <w:lang w:val="en" w:eastAsia="en-GB"/>
        </w:rPr>
        <w:t xml:space="preserve">Learning Objectives </w:t>
      </w:r>
    </w:p>
    <w:p w:rsidR="00467A84" w:rsidRPr="00C537A9" w:rsidRDefault="00467A84" w:rsidP="00467A84">
      <w:pPr>
        <w:outlineLvl w:val="2"/>
        <w:rPr>
          <w:rFonts w:eastAsia="Times New Roman" w:cs="Arial"/>
          <w:bCs/>
          <w:sz w:val="24"/>
          <w:szCs w:val="24"/>
          <w:u w:val="single"/>
          <w:lang w:val="en" w:eastAsia="en-GB"/>
        </w:rPr>
      </w:pPr>
    </w:p>
    <w:p w:rsidR="00467A84" w:rsidRPr="00C537A9" w:rsidRDefault="00467A84" w:rsidP="00467A84">
      <w:pPr>
        <w:spacing w:after="120"/>
        <w:rPr>
          <w:rFonts w:cs="Arial"/>
          <w:sz w:val="24"/>
          <w:szCs w:val="24"/>
          <w:lang w:val="en"/>
        </w:rPr>
      </w:pPr>
      <w:r w:rsidRPr="00C537A9">
        <w:rPr>
          <w:rFonts w:cs="Arial"/>
          <w:sz w:val="24"/>
          <w:szCs w:val="24"/>
          <w:lang w:val="en"/>
        </w:rPr>
        <w:t xml:space="preserve">By the end of this session you will be able to: </w:t>
      </w:r>
    </w:p>
    <w:p w:rsidR="00467A84" w:rsidRPr="00C537A9" w:rsidRDefault="00467A84" w:rsidP="006C50DE">
      <w:pPr>
        <w:numPr>
          <w:ilvl w:val="2"/>
          <w:numId w:val="27"/>
        </w:numPr>
        <w:spacing w:after="120"/>
        <w:ind w:left="426" w:right="238" w:hanging="426"/>
        <w:rPr>
          <w:rFonts w:eastAsia="Times New Roman" w:cs="Helvetica"/>
          <w:sz w:val="24"/>
          <w:szCs w:val="24"/>
          <w:lang w:val="en" w:eastAsia="en-GB"/>
        </w:rPr>
      </w:pPr>
      <w:r>
        <w:rPr>
          <w:rFonts w:eastAsia="Times New Roman" w:cs="Helvetica"/>
          <w:sz w:val="24"/>
          <w:szCs w:val="24"/>
          <w:lang w:val="en" w:eastAsia="en-GB"/>
        </w:rPr>
        <w:t xml:space="preserve">undertake a risk assessment for </w:t>
      </w:r>
      <w:r w:rsidRPr="00C537A9">
        <w:rPr>
          <w:rFonts w:eastAsia="Times New Roman" w:cs="Helvetica"/>
          <w:sz w:val="24"/>
          <w:szCs w:val="24"/>
          <w:lang w:val="en" w:eastAsia="en-GB"/>
        </w:rPr>
        <w:t>VTE</w:t>
      </w:r>
    </w:p>
    <w:p w:rsidR="00467A84" w:rsidRPr="00467A84" w:rsidRDefault="00467A84" w:rsidP="006C50DE">
      <w:pPr>
        <w:numPr>
          <w:ilvl w:val="2"/>
          <w:numId w:val="27"/>
        </w:numPr>
        <w:spacing w:after="120"/>
        <w:ind w:left="426" w:right="238" w:hanging="426"/>
        <w:rPr>
          <w:rFonts w:eastAsia="Times New Roman" w:cs="Helvetica"/>
          <w:sz w:val="24"/>
          <w:szCs w:val="24"/>
          <w:lang w:val="en" w:eastAsia="en-GB"/>
        </w:rPr>
      </w:pPr>
      <w:r>
        <w:rPr>
          <w:rFonts w:eastAsia="Times New Roman" w:cs="Helvetica"/>
          <w:sz w:val="24"/>
          <w:szCs w:val="24"/>
          <w:lang w:val="en" w:eastAsia="en-GB"/>
        </w:rPr>
        <w:t>s</w:t>
      </w:r>
      <w:r w:rsidRPr="00467A84">
        <w:rPr>
          <w:rFonts w:eastAsia="Times New Roman" w:cs="Helvetica"/>
          <w:sz w:val="24"/>
          <w:szCs w:val="24"/>
          <w:lang w:val="en" w:eastAsia="en-GB"/>
        </w:rPr>
        <w:t xml:space="preserve">elect an appropriate method of thromboprophylaxis and prescribe thromboprophylaxis for an appropriate duration </w:t>
      </w:r>
    </w:p>
    <w:p w:rsidR="00467A84" w:rsidRPr="00467A84" w:rsidRDefault="00467A84" w:rsidP="006C50DE">
      <w:pPr>
        <w:numPr>
          <w:ilvl w:val="2"/>
          <w:numId w:val="27"/>
        </w:numPr>
        <w:spacing w:after="120"/>
        <w:ind w:left="426" w:right="238" w:hanging="426"/>
        <w:rPr>
          <w:rFonts w:eastAsia="Times New Roman" w:cs="Helvetica"/>
          <w:sz w:val="24"/>
          <w:szCs w:val="24"/>
          <w:lang w:val="en" w:eastAsia="en-GB"/>
        </w:rPr>
      </w:pPr>
      <w:r w:rsidRPr="00467A84">
        <w:rPr>
          <w:rFonts w:eastAsia="Times New Roman" w:cs="Helvetica"/>
          <w:sz w:val="24"/>
          <w:szCs w:val="24"/>
          <w:lang w:val="en" w:eastAsia="en-GB"/>
        </w:rPr>
        <w:t>understand the importance of performing root cause analyses of cases of VTE in hospitalised patients, and how to audit each of these steps</w:t>
      </w:r>
    </w:p>
    <w:p w:rsidR="00467A84" w:rsidRDefault="00467A84" w:rsidP="00C36DF8">
      <w:pPr>
        <w:ind w:right="240"/>
        <w:rPr>
          <w:rFonts w:eastAsia="Times New Roman" w:cs="Helvetica"/>
          <w:sz w:val="24"/>
          <w:szCs w:val="24"/>
          <w:lang w:val="en" w:eastAsia="en-GB"/>
        </w:rPr>
      </w:pPr>
    </w:p>
    <w:p w:rsidR="00467A84" w:rsidRPr="006C50DE" w:rsidRDefault="00467A84" w:rsidP="006C50DE">
      <w:pPr>
        <w:pStyle w:val="Heading4"/>
        <w:spacing w:before="0"/>
        <w:rPr>
          <w:rFonts w:asciiTheme="minorHAnsi" w:hAnsiTheme="minorHAnsi" w:cs="Arial"/>
          <w:i w:val="0"/>
          <w:color w:val="auto"/>
          <w:sz w:val="28"/>
          <w:szCs w:val="24"/>
          <w:lang w:val="en"/>
        </w:rPr>
      </w:pPr>
    </w:p>
    <w:p w:rsidR="00467A84" w:rsidRPr="006C50DE" w:rsidRDefault="00467A84"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t>Introduction</w:t>
      </w:r>
    </w:p>
    <w:p w:rsidR="00467A84" w:rsidRDefault="00467A84" w:rsidP="00C36DF8">
      <w:pPr>
        <w:ind w:right="240"/>
        <w:rPr>
          <w:rFonts w:eastAsia="Times New Roman" w:cs="Helvetica"/>
          <w:sz w:val="24"/>
          <w:szCs w:val="24"/>
          <w:lang w:val="en" w:eastAsia="en-GB"/>
        </w:rPr>
      </w:pPr>
    </w:p>
    <w:p w:rsidR="00FB2F7F" w:rsidRPr="00C537A9" w:rsidRDefault="00FB2F7F" w:rsidP="00C36DF8">
      <w:pPr>
        <w:ind w:right="240"/>
        <w:rPr>
          <w:rFonts w:eastAsia="Times New Roman" w:cs="Helvetica"/>
          <w:sz w:val="24"/>
          <w:szCs w:val="24"/>
          <w:lang w:val="en" w:eastAsia="en-GB"/>
        </w:rPr>
      </w:pPr>
      <w:r w:rsidRPr="00C537A9">
        <w:rPr>
          <w:rFonts w:eastAsia="Times New Roman" w:cs="Helvetica"/>
          <w:sz w:val="24"/>
          <w:szCs w:val="24"/>
          <w:lang w:val="en" w:eastAsia="en-GB"/>
        </w:rPr>
        <w:t>The prevention of Venous Thromboembolism (VTE) in hospitalised patients is a top clinical priority in the NHS. The National VTE Prevention Programme provides a comprehensive, integrated and financially incentivised approach to prevent VTE.</w:t>
      </w:r>
    </w:p>
    <w:p w:rsidR="00C36DF8" w:rsidRDefault="00C36DF8" w:rsidP="00C36DF8">
      <w:pPr>
        <w:ind w:right="240"/>
        <w:rPr>
          <w:rFonts w:eastAsia="Times New Roman" w:cs="Helvetica"/>
          <w:sz w:val="24"/>
          <w:szCs w:val="24"/>
          <w:lang w:val="en" w:eastAsia="en-GB"/>
        </w:rPr>
      </w:pPr>
    </w:p>
    <w:p w:rsidR="00C36DF8" w:rsidRPr="00C537A9" w:rsidRDefault="00C36DF8" w:rsidP="00C36DF8">
      <w:pPr>
        <w:ind w:right="240"/>
        <w:rPr>
          <w:rFonts w:eastAsia="Times New Roman" w:cs="Helvetica"/>
          <w:sz w:val="24"/>
          <w:szCs w:val="24"/>
          <w:lang w:val="en" w:eastAsia="en-GB"/>
        </w:rPr>
      </w:pPr>
    </w:p>
    <w:p w:rsidR="00467A84" w:rsidRDefault="00467A84">
      <w:pPr>
        <w:rPr>
          <w:rFonts w:eastAsia="Times New Roman" w:cs="Arial"/>
          <w:bCs/>
          <w:sz w:val="24"/>
          <w:szCs w:val="24"/>
          <w:u w:val="single"/>
          <w:lang w:val="en" w:eastAsia="en-GB"/>
        </w:rPr>
      </w:pPr>
      <w:r>
        <w:rPr>
          <w:rFonts w:eastAsia="Times New Roman" w:cs="Arial"/>
          <w:bCs/>
          <w:sz w:val="24"/>
          <w:szCs w:val="24"/>
          <w:u w:val="single"/>
          <w:lang w:val="en" w:eastAsia="en-GB"/>
        </w:rPr>
        <w:br w:type="page"/>
      </w:r>
    </w:p>
    <w:p w:rsidR="00467A84" w:rsidRPr="006C50DE" w:rsidRDefault="00467A84"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 xml:space="preserve">About VTE </w:t>
      </w:r>
    </w:p>
    <w:p w:rsidR="00DA5444" w:rsidRDefault="00DA5444" w:rsidP="00467A84">
      <w:pPr>
        <w:rPr>
          <w:rFonts w:cs="Arial"/>
          <w:sz w:val="24"/>
          <w:szCs w:val="24"/>
        </w:rPr>
      </w:pPr>
    </w:p>
    <w:p w:rsidR="00467A84" w:rsidRDefault="00467A84" w:rsidP="00467A84">
      <w:pPr>
        <w:rPr>
          <w:lang w:val="en"/>
        </w:rPr>
      </w:pPr>
      <w:r>
        <w:rPr>
          <w:lang w:val="en"/>
        </w:rPr>
        <w:t>VTE is a common complication among hospital inpatients and contributes to longer hospital stays, morbidity, and mortality.</w:t>
      </w:r>
    </w:p>
    <w:p w:rsidR="00467A84" w:rsidRPr="00C537A9" w:rsidRDefault="00467A84" w:rsidP="00467A84">
      <w:pPr>
        <w:rPr>
          <w:rFonts w:cs="Arial"/>
          <w:sz w:val="24"/>
          <w:szCs w:val="24"/>
        </w:rPr>
      </w:pPr>
    </w:p>
    <w:p w:rsidR="00467A84" w:rsidRPr="00467A84" w:rsidRDefault="00467A84" w:rsidP="00467A84">
      <w:pPr>
        <w:rPr>
          <w:u w:val="single"/>
          <w:lang w:val="en"/>
        </w:rPr>
      </w:pPr>
      <w:r w:rsidRPr="00467A84">
        <w:rPr>
          <w:u w:val="single"/>
          <w:lang w:val="en"/>
        </w:rPr>
        <w:t>Virchow's triad</w:t>
      </w:r>
    </w:p>
    <w:p w:rsidR="00467A84" w:rsidRDefault="00467A84" w:rsidP="00467A84">
      <w:pPr>
        <w:rPr>
          <w:lang w:val="en"/>
        </w:rPr>
      </w:pPr>
    </w:p>
    <w:p w:rsidR="00467A84" w:rsidRPr="00467A84" w:rsidRDefault="00467A84" w:rsidP="00467A84">
      <w:pPr>
        <w:spacing w:after="120"/>
        <w:rPr>
          <w:lang w:val="en"/>
        </w:rPr>
      </w:pPr>
      <w:r w:rsidRPr="00467A84">
        <w:rPr>
          <w:lang w:val="en"/>
        </w:rPr>
        <w:t>Thrombus formation and propagation depend on:</w:t>
      </w:r>
    </w:p>
    <w:p w:rsidR="00467A84" w:rsidRPr="00467A84" w:rsidRDefault="00467A84" w:rsidP="006C50DE">
      <w:pPr>
        <w:pStyle w:val="ListParagraph"/>
        <w:numPr>
          <w:ilvl w:val="0"/>
          <w:numId w:val="37"/>
        </w:numPr>
        <w:spacing w:after="120"/>
        <w:ind w:left="714" w:hanging="357"/>
        <w:contextualSpacing w:val="0"/>
        <w:rPr>
          <w:lang w:val="en"/>
        </w:rPr>
      </w:pPr>
      <w:r w:rsidRPr="00467A84">
        <w:rPr>
          <w:lang w:val="en"/>
        </w:rPr>
        <w:t>The presence of abnormalities of blood flow</w:t>
      </w:r>
    </w:p>
    <w:p w:rsidR="00467A84" w:rsidRPr="00467A84" w:rsidRDefault="00467A84" w:rsidP="006C50DE">
      <w:pPr>
        <w:pStyle w:val="ListParagraph"/>
        <w:numPr>
          <w:ilvl w:val="0"/>
          <w:numId w:val="37"/>
        </w:numPr>
        <w:spacing w:after="120"/>
        <w:ind w:left="714" w:hanging="357"/>
        <w:contextualSpacing w:val="0"/>
        <w:rPr>
          <w:lang w:val="en"/>
        </w:rPr>
      </w:pPr>
      <w:r w:rsidRPr="00467A84">
        <w:rPr>
          <w:lang w:val="en"/>
        </w:rPr>
        <w:t>Blood vessel injury</w:t>
      </w:r>
    </w:p>
    <w:p w:rsidR="00467A84" w:rsidRDefault="00467A84" w:rsidP="006C50DE">
      <w:pPr>
        <w:pStyle w:val="ListParagraph"/>
        <w:numPr>
          <w:ilvl w:val="0"/>
          <w:numId w:val="37"/>
        </w:numPr>
        <w:rPr>
          <w:lang w:val="en"/>
        </w:rPr>
      </w:pPr>
      <w:r w:rsidRPr="00467A84">
        <w:rPr>
          <w:lang w:val="en"/>
        </w:rPr>
        <w:t>An increase in the tendency of the blood to clot (hypercoagulability), known historically as Virchow's triad.</w:t>
      </w:r>
    </w:p>
    <w:p w:rsidR="00467A84" w:rsidRPr="00467A84" w:rsidRDefault="00467A84" w:rsidP="00467A84">
      <w:pPr>
        <w:pStyle w:val="ListParagraph"/>
        <w:rPr>
          <w:lang w:val="en"/>
        </w:rPr>
      </w:pPr>
    </w:p>
    <w:p w:rsidR="00467A84" w:rsidRPr="00467A84" w:rsidRDefault="00467A84" w:rsidP="00467A84">
      <w:pPr>
        <w:rPr>
          <w:lang w:val="en"/>
        </w:rPr>
      </w:pPr>
      <w:r w:rsidRPr="00467A84">
        <w:rPr>
          <w:lang w:val="en"/>
        </w:rPr>
        <w:t>One or more of these factors are present in almost all hospitalised patients.</w:t>
      </w:r>
    </w:p>
    <w:p w:rsidR="00467A84" w:rsidRPr="00467A84" w:rsidRDefault="00467A84" w:rsidP="00467A84">
      <w:pPr>
        <w:spacing w:before="100" w:beforeAutospacing="1" w:after="100" w:afterAutospacing="1"/>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drawing>
          <wp:inline distT="0" distB="0" distL="0" distR="0">
            <wp:extent cx="2902585" cy="2424430"/>
            <wp:effectExtent l="0" t="0" r="0" b="0"/>
            <wp:docPr id="8" name="Picture 8" descr="http://cs1.e-learningforhealthcare.org.uk/public/VTE_Public_Access/VTE_02_01/png/virchows_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e-learningforhealthcare.org.uk/public/VTE_Public_Access/VTE_02_01/png/virchows_tri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585" cy="2424430"/>
                    </a:xfrm>
                    <a:prstGeom prst="rect">
                      <a:avLst/>
                    </a:prstGeom>
                    <a:noFill/>
                    <a:ln>
                      <a:noFill/>
                    </a:ln>
                  </pic:spPr>
                </pic:pic>
              </a:graphicData>
            </a:graphic>
          </wp:inline>
        </w:drawing>
      </w:r>
    </w:p>
    <w:p w:rsidR="00467A84" w:rsidRDefault="00467A84" w:rsidP="00467A84">
      <w:pPr>
        <w:rPr>
          <w:lang w:val="en"/>
        </w:rPr>
      </w:pPr>
    </w:p>
    <w:p w:rsidR="00467A84" w:rsidRDefault="00467A84" w:rsidP="00467A84">
      <w:pPr>
        <w:rPr>
          <w:lang w:val="en"/>
        </w:rPr>
      </w:pPr>
    </w:p>
    <w:p w:rsidR="00467A84" w:rsidRPr="00467A84" w:rsidRDefault="00467A84" w:rsidP="00467A84">
      <w:pPr>
        <w:rPr>
          <w:u w:val="single"/>
          <w:lang w:val="en"/>
        </w:rPr>
      </w:pPr>
      <w:r w:rsidRPr="00467A84">
        <w:rPr>
          <w:u w:val="single"/>
          <w:lang w:val="en"/>
        </w:rPr>
        <w:t>Major orthopaedic surgery</w:t>
      </w:r>
    </w:p>
    <w:p w:rsidR="00467A84" w:rsidRDefault="00467A84" w:rsidP="00467A84">
      <w:pPr>
        <w:rPr>
          <w:lang w:val="en"/>
        </w:rPr>
      </w:pPr>
    </w:p>
    <w:p w:rsidR="00467A84" w:rsidRPr="00C537A9" w:rsidRDefault="00467A84" w:rsidP="00467A84">
      <w:pPr>
        <w:rPr>
          <w:rFonts w:cs="Arial"/>
          <w:b/>
          <w:sz w:val="24"/>
          <w:szCs w:val="24"/>
          <w:lang w:val="en"/>
        </w:rPr>
      </w:pPr>
    </w:p>
    <w:p w:rsidR="00467A84" w:rsidRPr="00467A84" w:rsidRDefault="00467A84" w:rsidP="00467A84">
      <w:pPr>
        <w:spacing w:after="120"/>
        <w:rPr>
          <w:lang w:val="en"/>
        </w:rPr>
      </w:pPr>
      <w:r w:rsidRPr="00467A84">
        <w:rPr>
          <w:noProof/>
          <w:lang w:eastAsia="en-GB"/>
        </w:rPr>
        <w:drawing>
          <wp:anchor distT="0" distB="0" distL="114300" distR="114300" simplePos="0" relativeHeight="251680768" behindDoc="0" locked="0" layoutInCell="1" allowOverlap="1" wp14:anchorId="43DD62F7" wp14:editId="1F2A7673">
            <wp:simplePos x="0" y="0"/>
            <wp:positionH relativeFrom="column">
              <wp:posOffset>1270</wp:posOffset>
            </wp:positionH>
            <wp:positionV relativeFrom="paragraph">
              <wp:posOffset>2540</wp:posOffset>
            </wp:positionV>
            <wp:extent cx="1712595" cy="3193415"/>
            <wp:effectExtent l="0" t="0" r="1905" b="6985"/>
            <wp:wrapSquare wrapText="bothSides"/>
            <wp:docPr id="2" name="Picture 2" descr="http://cs1.e-learningforhealthcare.org.uk/public/VTE_Public_Access/VTE_02_01/jpg/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1.e-learningforhealthcare.org.uk/public/VTE_Public_Access/VTE_02_01/jpg/image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595"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A84">
        <w:rPr>
          <w:lang w:val="en"/>
        </w:rPr>
        <w:t xml:space="preserve">Examples of patients at risk of VTE are those admitted to hospital for elective orthopaedic surgery. Venous stasis occurs after surgery, vessel wall injury is common and the surgery itself activates the coagulation system, forming a microenvironment favouring thrombus formation. </w:t>
      </w:r>
    </w:p>
    <w:p w:rsidR="00467A84" w:rsidRPr="00467A84" w:rsidRDefault="00467A84" w:rsidP="00467A84">
      <w:pPr>
        <w:spacing w:after="120"/>
        <w:rPr>
          <w:lang w:val="en"/>
        </w:rPr>
      </w:pPr>
    </w:p>
    <w:p w:rsidR="00467A84" w:rsidRPr="00467A84" w:rsidRDefault="00467A84" w:rsidP="00467A84">
      <w:pPr>
        <w:spacing w:after="120"/>
        <w:rPr>
          <w:lang w:val="en"/>
        </w:rPr>
      </w:pPr>
      <w:r w:rsidRPr="00467A84">
        <w:rPr>
          <w:lang w:val="en"/>
        </w:rPr>
        <w:t>Further examples of patients at risk of VTE include most surgical patients and medical admissions if mobility is predicted to be, or is significantly reduced for, 3 or more days.</w:t>
      </w:r>
    </w:p>
    <w:p w:rsidR="00467A84" w:rsidRDefault="00467A84" w:rsidP="00467A84">
      <w:pPr>
        <w:spacing w:after="120"/>
        <w:rPr>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pPr>
        <w:rPr>
          <w:u w:val="single"/>
          <w:lang w:val="en"/>
        </w:rPr>
      </w:pPr>
      <w:r>
        <w:rPr>
          <w:u w:val="single"/>
          <w:lang w:val="en"/>
        </w:rPr>
        <w:br w:type="page"/>
      </w:r>
    </w:p>
    <w:p w:rsidR="00467A84" w:rsidRPr="00467A84" w:rsidRDefault="00467A84" w:rsidP="00467A84">
      <w:pPr>
        <w:rPr>
          <w:u w:val="single"/>
          <w:lang w:val="en"/>
        </w:rPr>
      </w:pPr>
      <w:r w:rsidRPr="00467A84">
        <w:rPr>
          <w:u w:val="single"/>
          <w:lang w:val="en"/>
        </w:rPr>
        <w:lastRenderedPageBreak/>
        <w:t>Deep vein thrombosis</w:t>
      </w:r>
    </w:p>
    <w:p w:rsidR="00467A84" w:rsidRDefault="00467A84" w:rsidP="00467A84">
      <w:pPr>
        <w:rPr>
          <w:lang w:val="en"/>
        </w:rPr>
      </w:pPr>
    </w:p>
    <w:p w:rsidR="00467A84" w:rsidRPr="00467A84" w:rsidRDefault="00467A84" w:rsidP="00467A84">
      <w:pPr>
        <w:spacing w:after="120"/>
        <w:rPr>
          <w:sz w:val="24"/>
          <w:szCs w:val="24"/>
          <w:lang w:val="en"/>
        </w:rPr>
      </w:pPr>
      <w:r w:rsidRPr="00467A84">
        <w:rPr>
          <w:sz w:val="24"/>
          <w:szCs w:val="24"/>
          <w:lang w:val="en"/>
        </w:rPr>
        <w:t>VTE in hospitalised patients is:</w:t>
      </w:r>
    </w:p>
    <w:p w:rsidR="00467A84" w:rsidRPr="00467A84" w:rsidRDefault="00467A84" w:rsidP="006C50DE">
      <w:pPr>
        <w:numPr>
          <w:ilvl w:val="0"/>
          <w:numId w:val="38"/>
        </w:numPr>
        <w:spacing w:after="120"/>
        <w:rPr>
          <w:rFonts w:eastAsia="Times New Roman" w:cs="Times New Roman"/>
          <w:sz w:val="24"/>
          <w:szCs w:val="24"/>
          <w:lang w:val="en" w:eastAsia="en-GB"/>
        </w:rPr>
      </w:pPr>
      <w:r w:rsidRPr="00467A84">
        <w:rPr>
          <w:rFonts w:eastAsia="Times New Roman" w:cs="Times New Roman"/>
          <w:sz w:val="24"/>
          <w:szCs w:val="24"/>
          <w:lang w:val="en" w:eastAsia="en-GB"/>
        </w:rPr>
        <w:t>One of the most common complications of hospital care</w:t>
      </w:r>
      <w:r w:rsidRPr="00467A84">
        <w:rPr>
          <w:rFonts w:cs="Arial"/>
          <w:noProof/>
        </w:rPr>
        <w:t xml:space="preserve"> </w:t>
      </w:r>
    </w:p>
    <w:p w:rsidR="00467A84" w:rsidRPr="00467A84" w:rsidRDefault="00467A84" w:rsidP="006C50DE">
      <w:pPr>
        <w:numPr>
          <w:ilvl w:val="0"/>
          <w:numId w:val="38"/>
        </w:numPr>
        <w:spacing w:after="120"/>
        <w:rPr>
          <w:rFonts w:eastAsia="Times New Roman" w:cs="Times New Roman"/>
          <w:sz w:val="24"/>
          <w:szCs w:val="24"/>
          <w:lang w:val="en" w:eastAsia="en-GB"/>
        </w:rPr>
      </w:pPr>
      <w:r w:rsidRPr="00467A84">
        <w:rPr>
          <w:rFonts w:eastAsia="Times New Roman" w:cs="Times New Roman"/>
          <w:sz w:val="24"/>
          <w:szCs w:val="24"/>
          <w:lang w:val="en" w:eastAsia="en-GB"/>
        </w:rPr>
        <w:t>A cause of unpleasant and potentially life-threatening symptoms</w:t>
      </w:r>
    </w:p>
    <w:p w:rsidR="00467A84" w:rsidRPr="00467A84" w:rsidRDefault="00467A84" w:rsidP="006C50DE">
      <w:pPr>
        <w:numPr>
          <w:ilvl w:val="0"/>
          <w:numId w:val="38"/>
        </w:numPr>
        <w:spacing w:after="120"/>
        <w:rPr>
          <w:rFonts w:eastAsia="Times New Roman" w:cs="Times New Roman"/>
          <w:sz w:val="24"/>
          <w:szCs w:val="24"/>
          <w:lang w:val="en" w:eastAsia="en-GB"/>
        </w:rPr>
      </w:pPr>
      <w:r w:rsidRPr="00467A84">
        <w:rPr>
          <w:rFonts w:eastAsia="Times New Roman" w:cs="Times New Roman"/>
          <w:sz w:val="24"/>
          <w:szCs w:val="24"/>
          <w:lang w:val="en" w:eastAsia="en-GB"/>
        </w:rPr>
        <w:t>The commonest cause of preventable death Expensive to manage (investigation of suspected VTE, prolongation of hospital stay, costs of anticoagulant treatment)</w:t>
      </w:r>
    </w:p>
    <w:p w:rsidR="00467A84" w:rsidRPr="00467A84" w:rsidRDefault="00467A84" w:rsidP="006C50DE">
      <w:pPr>
        <w:numPr>
          <w:ilvl w:val="0"/>
          <w:numId w:val="38"/>
        </w:numPr>
        <w:rPr>
          <w:rFonts w:eastAsia="Times New Roman" w:cs="Times New Roman"/>
          <w:sz w:val="24"/>
          <w:szCs w:val="24"/>
          <w:lang w:val="en" w:eastAsia="en-GB"/>
        </w:rPr>
      </w:pPr>
      <w:r w:rsidRPr="00467A84">
        <w:rPr>
          <w:rFonts w:eastAsia="Times New Roman" w:cs="Times New Roman"/>
          <w:sz w:val="24"/>
          <w:szCs w:val="24"/>
          <w:lang w:val="en" w:eastAsia="en-GB"/>
        </w:rPr>
        <w:t>Easily prevented by undertaking a simple patient risk assessment and administering appropriate prophylaxis</w:t>
      </w:r>
    </w:p>
    <w:p w:rsidR="00467A84" w:rsidRPr="00467A84" w:rsidRDefault="00467A84" w:rsidP="00467A84">
      <w:pPr>
        <w:rPr>
          <w:sz w:val="24"/>
          <w:szCs w:val="24"/>
          <w:lang w:val="en"/>
        </w:rPr>
      </w:pPr>
      <w:r w:rsidRPr="00C537A9">
        <w:rPr>
          <w:rFonts w:cs="Arial"/>
          <w:noProof/>
          <w:lang w:eastAsia="en-GB"/>
        </w:rPr>
        <w:drawing>
          <wp:anchor distT="0" distB="0" distL="114300" distR="114300" simplePos="0" relativeHeight="251682816" behindDoc="0" locked="0" layoutInCell="1" allowOverlap="1" wp14:anchorId="21574669" wp14:editId="2C34E005">
            <wp:simplePos x="0" y="0"/>
            <wp:positionH relativeFrom="column">
              <wp:posOffset>-38735</wp:posOffset>
            </wp:positionH>
            <wp:positionV relativeFrom="paragraph">
              <wp:posOffset>59055</wp:posOffset>
            </wp:positionV>
            <wp:extent cx="3186430" cy="1535430"/>
            <wp:effectExtent l="0" t="0" r="0" b="7620"/>
            <wp:wrapSquare wrapText="bothSides"/>
            <wp:docPr id="3" name="Picture 3" descr="http://cs1.e-learningforhealthcare.org.uk/public/VTE_Public_Access/VTE_02_01/jpg/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1.e-learningforhealthcare.org.uk/public/VTE_Public_Access/VTE_02_01/jpg/image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43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A84" w:rsidRPr="00467A84" w:rsidRDefault="00467A84" w:rsidP="00467A84">
      <w:pPr>
        <w:rPr>
          <w:sz w:val="24"/>
          <w:szCs w:val="24"/>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Default="00467A84" w:rsidP="00467A84">
      <w:pPr>
        <w:rPr>
          <w:u w:val="single"/>
          <w:lang w:val="en"/>
        </w:rPr>
      </w:pPr>
    </w:p>
    <w:p w:rsidR="00467A84" w:rsidRPr="00467A84" w:rsidRDefault="00467A84" w:rsidP="00467A84">
      <w:pPr>
        <w:rPr>
          <w:u w:val="single"/>
          <w:lang w:val="en"/>
        </w:rPr>
      </w:pPr>
      <w:r w:rsidRPr="00467A84">
        <w:rPr>
          <w:u w:val="single"/>
          <w:lang w:val="en"/>
        </w:rPr>
        <w:t>Fatal pulmonary embolism</w:t>
      </w:r>
    </w:p>
    <w:p w:rsidR="00467A84" w:rsidRPr="00467A84" w:rsidRDefault="00467A84" w:rsidP="00467A84">
      <w:pPr>
        <w:rPr>
          <w:sz w:val="24"/>
          <w:szCs w:val="24"/>
          <w:lang w:val="en"/>
        </w:rPr>
      </w:pPr>
      <w:r w:rsidRPr="00C537A9">
        <w:rPr>
          <w:rFonts w:cs="Arial"/>
          <w:noProof/>
          <w:lang w:eastAsia="en-GB"/>
        </w:rPr>
        <w:drawing>
          <wp:anchor distT="0" distB="0" distL="114300" distR="114300" simplePos="0" relativeHeight="251678720" behindDoc="0" locked="0" layoutInCell="1" allowOverlap="1" wp14:anchorId="6AE972B6" wp14:editId="18E29E57">
            <wp:simplePos x="0" y="0"/>
            <wp:positionH relativeFrom="column">
              <wp:posOffset>3231515</wp:posOffset>
            </wp:positionH>
            <wp:positionV relativeFrom="paragraph">
              <wp:posOffset>172085</wp:posOffset>
            </wp:positionV>
            <wp:extent cx="3589020" cy="2431415"/>
            <wp:effectExtent l="0" t="0" r="0" b="6985"/>
            <wp:wrapSquare wrapText="bothSides"/>
            <wp:docPr id="4" name="Picture 4" descr="http://cs1.e-learningforhealthcare.org.uk/public/VTE_Public_Access/VTE_02_01/jpg/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1.e-learningforhealthcare.org.uk/public/VTE_Public_Access/VTE_02_01/jpg/image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020"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A84" w:rsidRDefault="00467A84" w:rsidP="00467A84">
      <w:pPr>
        <w:rPr>
          <w:sz w:val="24"/>
          <w:szCs w:val="24"/>
          <w:lang w:val="en"/>
        </w:rPr>
      </w:pPr>
      <w:r w:rsidRPr="00467A84">
        <w:rPr>
          <w:sz w:val="24"/>
          <w:szCs w:val="24"/>
          <w:lang w:val="en"/>
        </w:rPr>
        <w:t>The Government has highlighted that there are too many preventable deaths from VTE in hospitalised patients, with thousands of deaths a year attributed to VTE and with a financial cost estimated to be in excess of £600 million per annum.</w:t>
      </w:r>
    </w:p>
    <w:p w:rsidR="00467A84" w:rsidRPr="00467A84" w:rsidRDefault="00467A84" w:rsidP="00467A84">
      <w:pPr>
        <w:rPr>
          <w:sz w:val="24"/>
          <w:szCs w:val="24"/>
          <w:lang w:val="en"/>
        </w:rPr>
      </w:pPr>
    </w:p>
    <w:p w:rsidR="00467A84" w:rsidRPr="00467A84" w:rsidRDefault="00467A84" w:rsidP="00467A84">
      <w:pPr>
        <w:rPr>
          <w:sz w:val="24"/>
          <w:szCs w:val="24"/>
          <w:lang w:val="en"/>
        </w:rPr>
      </w:pPr>
      <w:r w:rsidRPr="00467A84">
        <w:rPr>
          <w:sz w:val="24"/>
          <w:szCs w:val="24"/>
          <w:lang w:val="en"/>
        </w:rPr>
        <w:t>In 2010 the Government made VTE prevention a national clinical priority for the NHS and the national VTE Prevention Programme was put in place to help reduce the occurrence of hospital-associated VTE.</w:t>
      </w:r>
    </w:p>
    <w:p w:rsidR="00DA22EA" w:rsidRPr="00467A84" w:rsidRDefault="00DA22EA" w:rsidP="00467A84">
      <w:pPr>
        <w:rPr>
          <w:sz w:val="24"/>
          <w:szCs w:val="24"/>
          <w:lang w:val="en"/>
        </w:rPr>
      </w:pPr>
    </w:p>
    <w:p w:rsidR="00467A84" w:rsidRPr="00467A84" w:rsidRDefault="00467A84" w:rsidP="00467A84">
      <w:pPr>
        <w:rPr>
          <w:sz w:val="24"/>
          <w:szCs w:val="24"/>
          <w:lang w:val="en"/>
        </w:rPr>
      </w:pPr>
    </w:p>
    <w:p w:rsidR="00467A84" w:rsidRDefault="00467A84" w:rsidP="00467A84">
      <w:pPr>
        <w:pStyle w:val="NormalWeb"/>
        <w:spacing w:before="0" w:beforeAutospacing="0" w:after="0" w:afterAutospacing="0"/>
        <w:jc w:val="right"/>
        <w:rPr>
          <w:rStyle w:val="Caption1"/>
          <w:rFonts w:asciiTheme="minorHAnsi" w:hAnsiTheme="minorHAnsi" w:cs="Arial"/>
          <w:lang w:val="en"/>
        </w:rPr>
      </w:pPr>
      <w:r w:rsidRPr="00C537A9">
        <w:rPr>
          <w:rStyle w:val="Caption1"/>
          <w:rFonts w:asciiTheme="minorHAnsi" w:hAnsiTheme="minorHAnsi" w:cs="Arial"/>
          <w:lang w:val="en"/>
        </w:rPr>
        <w:t>This image shows a fatal PE apparent at autopsy.</w:t>
      </w:r>
    </w:p>
    <w:p w:rsidR="00467A84" w:rsidRPr="00C537A9" w:rsidRDefault="00467A84" w:rsidP="00467A84">
      <w:pPr>
        <w:rPr>
          <w:rFonts w:eastAsia="Times New Roman" w:cs="Arial"/>
          <w:sz w:val="24"/>
          <w:szCs w:val="24"/>
          <w:lang w:val="en" w:eastAsia="en-GB"/>
        </w:rPr>
      </w:pPr>
    </w:p>
    <w:p w:rsidR="00467A84" w:rsidRDefault="00467A84">
      <w:pPr>
        <w:rPr>
          <w:rFonts w:cs="Arial"/>
          <w:b/>
          <w:sz w:val="24"/>
          <w:szCs w:val="24"/>
          <w:lang w:val="en"/>
        </w:rPr>
      </w:pPr>
      <w:r>
        <w:rPr>
          <w:rFonts w:cs="Arial"/>
          <w:b/>
          <w:sz w:val="24"/>
          <w:szCs w:val="24"/>
          <w:lang w:val="en"/>
        </w:rPr>
        <w:br w:type="page"/>
      </w:r>
    </w:p>
    <w:p w:rsidR="00467A84" w:rsidRPr="006C50DE" w:rsidRDefault="00467A84"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Prevention</w:t>
      </w:r>
    </w:p>
    <w:p w:rsidR="00000310" w:rsidRPr="00C537A9" w:rsidRDefault="00000310" w:rsidP="00000310">
      <w:pPr>
        <w:rPr>
          <w:lang w:val="en"/>
        </w:rPr>
      </w:pPr>
    </w:p>
    <w:p w:rsidR="00000310" w:rsidRDefault="00000310" w:rsidP="00000310">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Introduction</w:t>
      </w:r>
    </w:p>
    <w:p w:rsidR="00000310" w:rsidRPr="00C537A9" w:rsidRDefault="00000310" w:rsidP="00000310">
      <w:pPr>
        <w:rPr>
          <w:lang w:val="en"/>
        </w:rPr>
      </w:pPr>
    </w:p>
    <w:p w:rsidR="00467A84" w:rsidRDefault="00467A84" w:rsidP="00467A84">
      <w:pPr>
        <w:rPr>
          <w:rFonts w:eastAsia="Times New Roman" w:cs="Arial"/>
          <w:sz w:val="24"/>
          <w:szCs w:val="24"/>
          <w:lang w:val="en" w:eastAsia="en-GB"/>
        </w:rPr>
      </w:pPr>
      <w:r w:rsidRPr="00C537A9">
        <w:rPr>
          <w:rFonts w:eastAsia="Times New Roman" w:cs="Arial"/>
          <w:sz w:val="24"/>
          <w:szCs w:val="24"/>
          <w:lang w:val="en" w:eastAsia="en-GB"/>
        </w:rPr>
        <w:t>The Department of Health has defined hospital associated VTE as:</w:t>
      </w:r>
      <w:r>
        <w:rPr>
          <w:rFonts w:eastAsia="Times New Roman" w:cs="Arial"/>
          <w:sz w:val="24"/>
          <w:szCs w:val="24"/>
          <w:lang w:val="en" w:eastAsia="en-GB"/>
        </w:rPr>
        <w:t xml:space="preserve">  </w:t>
      </w:r>
      <w:r w:rsidRPr="00C537A9">
        <w:rPr>
          <w:rFonts w:eastAsia="Times New Roman" w:cs="Arial"/>
          <w:sz w:val="24"/>
          <w:szCs w:val="24"/>
          <w:lang w:val="en" w:eastAsia="en-GB"/>
        </w:rPr>
        <w:t>any VTE event occurring within 90 days of hospital admission/surgery.</w:t>
      </w:r>
    </w:p>
    <w:p w:rsidR="00467A84" w:rsidRPr="00C537A9" w:rsidRDefault="00467A84" w:rsidP="00467A84">
      <w:pPr>
        <w:rPr>
          <w:rFonts w:eastAsia="Times New Roman" w:cs="Arial"/>
          <w:sz w:val="24"/>
          <w:szCs w:val="24"/>
          <w:lang w:val="en" w:eastAsia="en-GB"/>
        </w:rPr>
      </w:pPr>
    </w:p>
    <w:p w:rsidR="00467A84" w:rsidRPr="00C537A9" w:rsidRDefault="00467A84" w:rsidP="00467A84">
      <w:pPr>
        <w:spacing w:after="120"/>
        <w:rPr>
          <w:rFonts w:eastAsia="Times New Roman" w:cs="Arial"/>
          <w:sz w:val="24"/>
          <w:szCs w:val="24"/>
          <w:lang w:val="en" w:eastAsia="en-GB"/>
        </w:rPr>
      </w:pPr>
      <w:r w:rsidRPr="00C537A9">
        <w:rPr>
          <w:rFonts w:cs="Arial"/>
          <w:noProof/>
          <w:sz w:val="24"/>
          <w:szCs w:val="24"/>
          <w:lang w:eastAsia="en-GB"/>
        </w:rPr>
        <w:drawing>
          <wp:anchor distT="0" distB="0" distL="114300" distR="114300" simplePos="0" relativeHeight="251684864" behindDoc="0" locked="0" layoutInCell="1" allowOverlap="1" wp14:anchorId="28D0D1E1" wp14:editId="6E106480">
            <wp:simplePos x="0" y="0"/>
            <wp:positionH relativeFrom="column">
              <wp:posOffset>4457065</wp:posOffset>
            </wp:positionH>
            <wp:positionV relativeFrom="paragraph">
              <wp:posOffset>232410</wp:posOffset>
            </wp:positionV>
            <wp:extent cx="2483485" cy="20688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_new_use.png"/>
                    <pic:cNvPicPr/>
                  </pic:nvPicPr>
                  <pic:blipFill>
                    <a:blip r:embed="rId12">
                      <a:extLst>
                        <a:ext uri="{28A0092B-C50C-407E-A947-70E740481C1C}">
                          <a14:useLocalDpi xmlns:a14="http://schemas.microsoft.com/office/drawing/2010/main" val="0"/>
                        </a:ext>
                      </a:extLst>
                    </a:blip>
                    <a:stretch>
                      <a:fillRect/>
                    </a:stretch>
                  </pic:blipFill>
                  <pic:spPr>
                    <a:xfrm>
                      <a:off x="0" y="0"/>
                      <a:ext cx="2483485" cy="2068830"/>
                    </a:xfrm>
                    <a:prstGeom prst="rect">
                      <a:avLst/>
                    </a:prstGeom>
                  </pic:spPr>
                </pic:pic>
              </a:graphicData>
            </a:graphic>
            <wp14:sizeRelH relativeFrom="page">
              <wp14:pctWidth>0</wp14:pctWidth>
            </wp14:sizeRelH>
            <wp14:sizeRelV relativeFrom="page">
              <wp14:pctHeight>0</wp14:pctHeight>
            </wp14:sizeRelV>
          </wp:anchor>
        </w:drawing>
      </w:r>
      <w:r w:rsidRPr="00C537A9">
        <w:rPr>
          <w:rFonts w:eastAsia="Times New Roman" w:cs="Arial"/>
          <w:sz w:val="24"/>
          <w:szCs w:val="24"/>
          <w:lang w:val="en" w:eastAsia="en-GB"/>
        </w:rPr>
        <w:t xml:space="preserve">The National VTE Prevention Programme provides a comprehensive, integrated and financially incentivised approach to prevent VTE. </w:t>
      </w:r>
      <w:r>
        <w:rPr>
          <w:rFonts w:eastAsia="Times New Roman" w:cs="Arial"/>
          <w:sz w:val="24"/>
          <w:szCs w:val="24"/>
          <w:lang w:val="en" w:eastAsia="en-GB"/>
        </w:rPr>
        <w:t xml:space="preserve"> </w:t>
      </w:r>
      <w:r w:rsidRPr="00C537A9">
        <w:rPr>
          <w:rFonts w:eastAsia="Times New Roman" w:cs="Arial"/>
          <w:sz w:val="24"/>
          <w:szCs w:val="24"/>
          <w:lang w:val="en" w:eastAsia="en-GB"/>
        </w:rPr>
        <w:t>The Programme consists of:</w:t>
      </w:r>
    </w:p>
    <w:p w:rsidR="00467A84" w:rsidRPr="00C537A9" w:rsidRDefault="00467A84" w:rsidP="006C50DE">
      <w:pPr>
        <w:numPr>
          <w:ilvl w:val="0"/>
          <w:numId w:val="32"/>
        </w:numPr>
        <w:spacing w:after="120"/>
        <w:rPr>
          <w:rFonts w:eastAsia="Times New Roman" w:cs="Arial"/>
          <w:sz w:val="24"/>
          <w:szCs w:val="24"/>
          <w:lang w:val="en" w:eastAsia="en-GB"/>
        </w:rPr>
      </w:pPr>
      <w:r w:rsidRPr="00C537A9">
        <w:rPr>
          <w:rFonts w:eastAsia="Times New Roman" w:cs="Arial"/>
          <w:sz w:val="24"/>
          <w:szCs w:val="24"/>
          <w:lang w:val="en" w:eastAsia="en-GB"/>
        </w:rPr>
        <w:t>The NICE Clinical Guideline 92</w:t>
      </w:r>
    </w:p>
    <w:p w:rsidR="00467A84" w:rsidRPr="00C537A9" w:rsidRDefault="00467A84" w:rsidP="006C50DE">
      <w:pPr>
        <w:numPr>
          <w:ilvl w:val="0"/>
          <w:numId w:val="32"/>
        </w:numPr>
        <w:spacing w:after="120"/>
        <w:rPr>
          <w:rFonts w:eastAsia="Times New Roman" w:cs="Arial"/>
          <w:sz w:val="24"/>
          <w:szCs w:val="24"/>
          <w:lang w:val="en" w:eastAsia="en-GB"/>
        </w:rPr>
      </w:pPr>
      <w:r w:rsidRPr="00C537A9">
        <w:rPr>
          <w:rFonts w:eastAsia="Times New Roman" w:cs="Arial"/>
          <w:sz w:val="24"/>
          <w:szCs w:val="24"/>
          <w:lang w:val="en" w:eastAsia="en-GB"/>
        </w:rPr>
        <w:t>The NICE Quality Standard for VTE prevention</w:t>
      </w:r>
    </w:p>
    <w:p w:rsidR="00467A84" w:rsidRPr="00C537A9" w:rsidRDefault="00467A84" w:rsidP="006C50DE">
      <w:pPr>
        <w:numPr>
          <w:ilvl w:val="0"/>
          <w:numId w:val="32"/>
        </w:numPr>
        <w:spacing w:after="120"/>
        <w:rPr>
          <w:rFonts w:eastAsia="Times New Roman" w:cs="Arial"/>
          <w:sz w:val="24"/>
          <w:szCs w:val="24"/>
          <w:lang w:val="en" w:eastAsia="en-GB"/>
        </w:rPr>
      </w:pPr>
      <w:r w:rsidRPr="00C537A9">
        <w:rPr>
          <w:rFonts w:eastAsia="Times New Roman" w:cs="Arial"/>
          <w:sz w:val="24"/>
          <w:szCs w:val="24"/>
          <w:lang w:val="en" w:eastAsia="en-GB"/>
        </w:rPr>
        <w:t>The NICE pathway for VTE prevention</w:t>
      </w:r>
    </w:p>
    <w:p w:rsidR="00467A84" w:rsidRPr="00C537A9" w:rsidRDefault="00467A84" w:rsidP="006C50DE">
      <w:pPr>
        <w:numPr>
          <w:ilvl w:val="0"/>
          <w:numId w:val="32"/>
        </w:numPr>
        <w:spacing w:after="120"/>
        <w:rPr>
          <w:rFonts w:eastAsia="Times New Roman" w:cs="Arial"/>
          <w:sz w:val="24"/>
          <w:szCs w:val="24"/>
          <w:lang w:val="en" w:eastAsia="en-GB"/>
        </w:rPr>
      </w:pPr>
      <w:r w:rsidRPr="00C537A9">
        <w:rPr>
          <w:rFonts w:eastAsia="Times New Roman" w:cs="Arial"/>
          <w:sz w:val="24"/>
          <w:szCs w:val="24"/>
          <w:lang w:val="en" w:eastAsia="en-GB"/>
        </w:rPr>
        <w:t>Mandatory VTE prevention requirements set out in the NHS Standard Contract</w:t>
      </w:r>
    </w:p>
    <w:p w:rsidR="00467A84" w:rsidRPr="00C537A9" w:rsidRDefault="00467A84" w:rsidP="006C50DE">
      <w:pPr>
        <w:numPr>
          <w:ilvl w:val="0"/>
          <w:numId w:val="32"/>
        </w:numPr>
        <w:spacing w:after="120"/>
        <w:rPr>
          <w:rFonts w:eastAsia="Times New Roman" w:cs="Arial"/>
          <w:sz w:val="24"/>
          <w:szCs w:val="24"/>
          <w:lang w:val="en" w:eastAsia="en-GB"/>
        </w:rPr>
      </w:pPr>
      <w:r w:rsidRPr="00C537A9">
        <w:rPr>
          <w:rFonts w:eastAsia="Times New Roman" w:cs="Arial"/>
          <w:sz w:val="24"/>
          <w:szCs w:val="24"/>
          <w:lang w:val="en" w:eastAsia="en-GB"/>
        </w:rPr>
        <w:t>The national CQUIN goal for VTE prevention</w:t>
      </w:r>
    </w:p>
    <w:p w:rsidR="00467A84" w:rsidRPr="00C537A9" w:rsidRDefault="00467A84" w:rsidP="006C50DE">
      <w:pPr>
        <w:numPr>
          <w:ilvl w:val="0"/>
          <w:numId w:val="32"/>
        </w:numPr>
        <w:rPr>
          <w:rFonts w:eastAsia="Times New Roman" w:cs="Arial"/>
          <w:sz w:val="24"/>
          <w:szCs w:val="24"/>
          <w:lang w:val="en" w:eastAsia="en-GB"/>
        </w:rPr>
      </w:pPr>
      <w:r w:rsidRPr="00C537A9">
        <w:rPr>
          <w:rFonts w:eastAsia="Times New Roman" w:cs="Arial"/>
          <w:sz w:val="24"/>
          <w:szCs w:val="24"/>
          <w:lang w:val="en" w:eastAsia="en-GB"/>
        </w:rPr>
        <w:t>A national tool for VTE risk assessment</w:t>
      </w:r>
    </w:p>
    <w:p w:rsidR="00467A84" w:rsidRDefault="00467A84" w:rsidP="00467A84">
      <w:pPr>
        <w:rPr>
          <w:rFonts w:eastAsia="Times New Roman" w:cs="Arial"/>
          <w:sz w:val="24"/>
          <w:szCs w:val="24"/>
          <w:lang w:val="en" w:eastAsia="en-GB"/>
        </w:rPr>
      </w:pPr>
    </w:p>
    <w:p w:rsidR="00467A84" w:rsidRDefault="00467A84" w:rsidP="00467A84">
      <w:pPr>
        <w:tabs>
          <w:tab w:val="left" w:pos="1762"/>
        </w:tabs>
        <w:rPr>
          <w:rFonts w:eastAsia="Times New Roman" w:cs="Arial"/>
          <w:sz w:val="24"/>
          <w:szCs w:val="24"/>
          <w:lang w:val="en" w:eastAsia="en-GB"/>
        </w:rPr>
      </w:pPr>
      <w:r w:rsidRPr="00C537A9">
        <w:rPr>
          <w:rFonts w:eastAsia="Times New Roman" w:cs="Arial"/>
          <w:sz w:val="24"/>
          <w:szCs w:val="24"/>
          <w:lang w:val="en" w:eastAsia="en-GB"/>
        </w:rPr>
        <w:t>NICE clinical guideline 92 gives comprehensive guidance on reducing the risk of VTE in hospitalised patients and on appropriate thromboprophylaxis.</w:t>
      </w:r>
    </w:p>
    <w:p w:rsidR="00467A84" w:rsidRDefault="00467A84" w:rsidP="00467A84">
      <w:pPr>
        <w:rPr>
          <w:rFonts w:eastAsia="Times New Roman" w:cs="Arial"/>
          <w:sz w:val="24"/>
          <w:szCs w:val="24"/>
          <w:lang w:val="en" w:eastAsia="en-GB"/>
        </w:rPr>
      </w:pPr>
    </w:p>
    <w:p w:rsidR="00467A84" w:rsidRPr="00C537A9" w:rsidRDefault="00467A84" w:rsidP="00467A84">
      <w:pPr>
        <w:rPr>
          <w:rFonts w:eastAsia="Times New Roman" w:cs="Arial"/>
          <w:sz w:val="24"/>
          <w:szCs w:val="24"/>
          <w:lang w:val="en" w:eastAsia="en-GB"/>
        </w:rPr>
      </w:pPr>
    </w:p>
    <w:p w:rsidR="00DA5444" w:rsidRPr="00467A84" w:rsidRDefault="00DA5444" w:rsidP="00C537A9">
      <w:pPr>
        <w:rPr>
          <w:rFonts w:cs="Arial"/>
          <w:sz w:val="24"/>
          <w:szCs w:val="24"/>
          <w:u w:val="single"/>
          <w:lang w:val="en"/>
        </w:rPr>
      </w:pPr>
      <w:r w:rsidRPr="00467A84">
        <w:rPr>
          <w:rFonts w:cs="Arial"/>
          <w:sz w:val="24"/>
          <w:szCs w:val="24"/>
          <w:u w:val="single"/>
          <w:lang w:val="en"/>
        </w:rPr>
        <w:t>NICE VTE Prevention Quality Standard</w:t>
      </w:r>
    </w:p>
    <w:p w:rsidR="00C537A9" w:rsidRPr="00C537A9" w:rsidRDefault="00C537A9" w:rsidP="00C537A9">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NICE has introduced a Quality Standard that sets out seven statements of high quality VTE prevention in line with NICE Clinical Guideline 92.</w:t>
      </w:r>
    </w:p>
    <w:p w:rsidR="00C537A9" w:rsidRPr="00C537A9" w:rsidRDefault="00C537A9" w:rsidP="00C36DF8">
      <w:pPr>
        <w:rPr>
          <w:rFonts w:eastAsia="Times New Roman" w:cs="Arial"/>
          <w:sz w:val="24"/>
          <w:szCs w:val="24"/>
          <w:lang w:val="en" w:eastAsia="en-GB"/>
        </w:rPr>
      </w:pPr>
    </w:p>
    <w:p w:rsidR="00DA5444" w:rsidRPr="00C537A9" w:rsidRDefault="00DA5444" w:rsidP="0089649E">
      <w:pPr>
        <w:spacing w:after="120"/>
        <w:rPr>
          <w:rFonts w:eastAsia="Times New Roman" w:cs="Arial"/>
          <w:sz w:val="24"/>
          <w:szCs w:val="24"/>
          <w:lang w:val="en" w:eastAsia="en-GB"/>
        </w:rPr>
      </w:pPr>
      <w:r w:rsidRPr="00C537A9">
        <w:rPr>
          <w:rFonts w:eastAsia="Times New Roman" w:cs="Arial"/>
          <w:sz w:val="24"/>
          <w:szCs w:val="24"/>
          <w:lang w:val="en" w:eastAsia="en-GB"/>
        </w:rPr>
        <w:t>The quality standards are a key part of making quality the organising principle of the NHS. They act as markers of high quality, cost effective patient care.</w:t>
      </w:r>
    </w:p>
    <w:p w:rsidR="00DA5444" w:rsidRPr="00C537A9" w:rsidRDefault="001564E9" w:rsidP="006C50DE">
      <w:pPr>
        <w:numPr>
          <w:ilvl w:val="0"/>
          <w:numId w:val="1"/>
        </w:numPr>
        <w:spacing w:after="120"/>
        <w:rPr>
          <w:rFonts w:eastAsia="Times New Roman" w:cs="Arial"/>
          <w:sz w:val="24"/>
          <w:szCs w:val="24"/>
          <w:lang w:val="en" w:eastAsia="en-GB"/>
        </w:rPr>
      </w:pPr>
      <w:r>
        <w:rPr>
          <w:rFonts w:eastAsia="Times New Roman" w:cs="Arial"/>
          <w:noProof/>
          <w:sz w:val="24"/>
          <w:szCs w:val="24"/>
          <w:lang w:eastAsia="en-GB"/>
        </w:rPr>
        <w:drawing>
          <wp:anchor distT="0" distB="0" distL="114300" distR="114300" simplePos="0" relativeHeight="251685888" behindDoc="0" locked="0" layoutInCell="1" allowOverlap="1" wp14:anchorId="7D8CDC20" wp14:editId="1FE5B415">
            <wp:simplePos x="0" y="0"/>
            <wp:positionH relativeFrom="column">
              <wp:posOffset>4657725</wp:posOffset>
            </wp:positionH>
            <wp:positionV relativeFrom="paragraph">
              <wp:posOffset>212725</wp:posOffset>
            </wp:positionV>
            <wp:extent cx="2176780" cy="27216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_new_use.png"/>
                    <pic:cNvPicPr/>
                  </pic:nvPicPr>
                  <pic:blipFill>
                    <a:blip r:embed="rId13">
                      <a:extLst>
                        <a:ext uri="{28A0092B-C50C-407E-A947-70E740481C1C}">
                          <a14:useLocalDpi xmlns:a14="http://schemas.microsoft.com/office/drawing/2010/main" val="0"/>
                        </a:ext>
                      </a:extLst>
                    </a:blip>
                    <a:stretch>
                      <a:fillRect/>
                    </a:stretch>
                  </pic:blipFill>
                  <pic:spPr>
                    <a:xfrm>
                      <a:off x="0" y="0"/>
                      <a:ext cx="2176780" cy="2721610"/>
                    </a:xfrm>
                    <a:prstGeom prst="rect">
                      <a:avLst/>
                    </a:prstGeom>
                  </pic:spPr>
                </pic:pic>
              </a:graphicData>
            </a:graphic>
            <wp14:sizeRelH relativeFrom="page">
              <wp14:pctWidth>0</wp14:pctWidth>
            </wp14:sizeRelH>
            <wp14:sizeRelV relativeFrom="page">
              <wp14:pctHeight>0</wp14:pctHeight>
            </wp14:sizeRelV>
          </wp:anchor>
        </w:drawing>
      </w:r>
      <w:r w:rsidR="00DA5444" w:rsidRPr="00C537A9">
        <w:rPr>
          <w:rFonts w:eastAsia="Times New Roman" w:cs="Arial"/>
          <w:sz w:val="24"/>
          <w:szCs w:val="24"/>
          <w:lang w:val="en" w:eastAsia="en-GB"/>
        </w:rPr>
        <w:t>All patients, on admission, receive an assessment of VTE and bleeding risk using the clinical risk assessment criteria described in the national tool</w:t>
      </w:r>
    </w:p>
    <w:p w:rsidR="00DA5444" w:rsidRPr="00C537A9" w:rsidRDefault="00DA5444" w:rsidP="006C50DE">
      <w:pPr>
        <w:numPr>
          <w:ilvl w:val="0"/>
          <w:numId w:val="1"/>
        </w:numPr>
        <w:spacing w:after="120"/>
        <w:rPr>
          <w:rFonts w:eastAsia="Times New Roman" w:cs="Arial"/>
          <w:sz w:val="24"/>
          <w:szCs w:val="24"/>
          <w:lang w:val="en" w:eastAsia="en-GB"/>
        </w:rPr>
      </w:pPr>
      <w:r w:rsidRPr="00C537A9">
        <w:rPr>
          <w:rFonts w:eastAsia="Times New Roman" w:cs="Arial"/>
          <w:sz w:val="24"/>
          <w:szCs w:val="24"/>
          <w:lang w:val="en" w:eastAsia="en-GB"/>
        </w:rPr>
        <w:t>Patients/carers are offered verbal and written information on VTE prevention as part of the admission process</w:t>
      </w:r>
    </w:p>
    <w:p w:rsidR="00DA5444" w:rsidRPr="00C537A9" w:rsidRDefault="00DA5444" w:rsidP="006C50DE">
      <w:pPr>
        <w:numPr>
          <w:ilvl w:val="0"/>
          <w:numId w:val="1"/>
        </w:numPr>
        <w:spacing w:after="120"/>
        <w:rPr>
          <w:rFonts w:eastAsia="Times New Roman" w:cs="Arial"/>
          <w:sz w:val="24"/>
          <w:szCs w:val="24"/>
          <w:lang w:val="en" w:eastAsia="en-GB"/>
        </w:rPr>
      </w:pPr>
      <w:r w:rsidRPr="00C537A9">
        <w:rPr>
          <w:rFonts w:eastAsia="Times New Roman" w:cs="Arial"/>
          <w:sz w:val="24"/>
          <w:szCs w:val="24"/>
          <w:lang w:val="en" w:eastAsia="en-GB"/>
        </w:rPr>
        <w:t>Patients provided with anti-embolism stockings have them fitted and monitored in accordance with NICE guidance</w:t>
      </w:r>
    </w:p>
    <w:p w:rsidR="00DA5444" w:rsidRPr="00C537A9" w:rsidRDefault="00DA5444" w:rsidP="006C50DE">
      <w:pPr>
        <w:numPr>
          <w:ilvl w:val="0"/>
          <w:numId w:val="1"/>
        </w:numPr>
        <w:spacing w:after="120"/>
        <w:rPr>
          <w:rFonts w:eastAsia="Times New Roman" w:cs="Arial"/>
          <w:sz w:val="24"/>
          <w:szCs w:val="24"/>
          <w:lang w:val="en" w:eastAsia="en-GB"/>
        </w:rPr>
      </w:pPr>
      <w:r w:rsidRPr="00C537A9">
        <w:rPr>
          <w:rFonts w:eastAsia="Times New Roman" w:cs="Arial"/>
          <w:sz w:val="24"/>
          <w:szCs w:val="24"/>
          <w:lang w:val="en" w:eastAsia="en-GB"/>
        </w:rPr>
        <w:t>Patients are re-assessed within 24 hours of admission for risk of VTE and bleeding</w:t>
      </w:r>
    </w:p>
    <w:p w:rsidR="00DA5444" w:rsidRPr="00C537A9" w:rsidRDefault="00DA5444" w:rsidP="006C50DE">
      <w:pPr>
        <w:numPr>
          <w:ilvl w:val="0"/>
          <w:numId w:val="1"/>
        </w:numPr>
        <w:spacing w:after="120"/>
        <w:rPr>
          <w:rFonts w:eastAsia="Times New Roman" w:cs="Arial"/>
          <w:sz w:val="24"/>
          <w:szCs w:val="24"/>
          <w:lang w:val="en" w:eastAsia="en-GB"/>
        </w:rPr>
      </w:pPr>
      <w:r w:rsidRPr="00C537A9">
        <w:rPr>
          <w:rFonts w:eastAsia="Times New Roman" w:cs="Arial"/>
          <w:sz w:val="24"/>
          <w:szCs w:val="24"/>
          <w:lang w:val="en" w:eastAsia="en-GB"/>
        </w:rPr>
        <w:t>Patients assessed to be at risk of VTE are offered VTE prophylaxis in accordance with NICE guidance</w:t>
      </w:r>
    </w:p>
    <w:p w:rsidR="00DA5444" w:rsidRPr="00C537A9" w:rsidRDefault="00DA5444" w:rsidP="006C50DE">
      <w:pPr>
        <w:numPr>
          <w:ilvl w:val="0"/>
          <w:numId w:val="1"/>
        </w:numPr>
        <w:spacing w:after="120"/>
        <w:rPr>
          <w:rFonts w:eastAsia="Times New Roman" w:cs="Arial"/>
          <w:sz w:val="24"/>
          <w:szCs w:val="24"/>
          <w:lang w:val="en" w:eastAsia="en-GB"/>
        </w:rPr>
      </w:pPr>
      <w:r w:rsidRPr="00C537A9">
        <w:rPr>
          <w:rFonts w:eastAsia="Times New Roman" w:cs="Arial"/>
          <w:sz w:val="24"/>
          <w:szCs w:val="24"/>
          <w:lang w:val="en" w:eastAsia="en-GB"/>
        </w:rPr>
        <w:t>Patients/carers are offered verbal and written information on VTE prevention as part of the discharge process</w:t>
      </w:r>
    </w:p>
    <w:p w:rsidR="0089649E" w:rsidRPr="00000310" w:rsidRDefault="00DA5444" w:rsidP="006C50DE">
      <w:pPr>
        <w:numPr>
          <w:ilvl w:val="0"/>
          <w:numId w:val="1"/>
        </w:numPr>
        <w:rPr>
          <w:rFonts w:cs="Arial"/>
          <w:b/>
          <w:sz w:val="24"/>
          <w:szCs w:val="24"/>
          <w:lang w:val="en"/>
        </w:rPr>
      </w:pPr>
      <w:r w:rsidRPr="00000310">
        <w:rPr>
          <w:rFonts w:eastAsia="Times New Roman" w:cs="Arial"/>
          <w:sz w:val="24"/>
          <w:szCs w:val="24"/>
          <w:lang w:val="en" w:eastAsia="en-GB"/>
        </w:rPr>
        <w:t>Patients are offered extended (post hospital) VTE prophylaxis in accordance with NICE guidance</w:t>
      </w:r>
      <w:r w:rsidR="0089649E" w:rsidRPr="00000310">
        <w:rPr>
          <w:rFonts w:cs="Arial"/>
          <w:b/>
          <w:sz w:val="24"/>
          <w:szCs w:val="24"/>
          <w:lang w:val="en"/>
        </w:rPr>
        <w:br w:type="page"/>
      </w:r>
    </w:p>
    <w:p w:rsidR="00DA5444" w:rsidRPr="00000310" w:rsidRDefault="00DA5444" w:rsidP="00C36DF8">
      <w:pPr>
        <w:rPr>
          <w:rFonts w:cs="Arial"/>
          <w:sz w:val="24"/>
          <w:szCs w:val="24"/>
          <w:u w:val="single"/>
          <w:lang w:val="en"/>
        </w:rPr>
      </w:pPr>
      <w:r w:rsidRPr="00000310">
        <w:rPr>
          <w:rFonts w:cs="Arial"/>
          <w:sz w:val="24"/>
          <w:szCs w:val="24"/>
          <w:u w:val="single"/>
          <w:lang w:val="en"/>
        </w:rPr>
        <w:lastRenderedPageBreak/>
        <w:t>NICE VTE Prevention Pathway</w:t>
      </w:r>
    </w:p>
    <w:p w:rsidR="00C537A9" w:rsidRPr="00C537A9" w:rsidRDefault="00C537A9" w:rsidP="00C36DF8">
      <w:pPr>
        <w:rPr>
          <w:rFonts w:cs="Arial"/>
          <w:b/>
          <w:sz w:val="24"/>
          <w:szCs w:val="24"/>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The NICE pathway for reducing the risk of VTE in hospital patients brings together the NICE Clinical Guideline 92 and Quality Standard to support implementation of VTE prevention.</w:t>
      </w:r>
    </w:p>
    <w:p w:rsidR="0089649E" w:rsidRPr="00C537A9" w:rsidRDefault="0089649E" w:rsidP="00C36DF8">
      <w:pPr>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Assessing the risk of VTE is one of the first and most important steps in the pathway, fulfilling the compulsory audit requirements within the NHS and acting as the trigger to consider the need for prevention measures.</w:t>
      </w: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 xml:space="preserve">Click </w:t>
      </w:r>
      <w:hyperlink r:id="rId14" w:tgtFrame="_blank" w:history="1">
        <w:r w:rsidRPr="00C537A9">
          <w:rPr>
            <w:rFonts w:eastAsia="Times New Roman" w:cs="Arial"/>
            <w:sz w:val="24"/>
            <w:szCs w:val="24"/>
            <w:u w:val="single"/>
            <w:lang w:val="en" w:eastAsia="en-GB"/>
          </w:rPr>
          <w:t>here</w:t>
        </w:r>
      </w:hyperlink>
      <w:r w:rsidRPr="00C537A9">
        <w:rPr>
          <w:rFonts w:eastAsia="Times New Roman" w:cs="Arial"/>
          <w:sz w:val="24"/>
          <w:szCs w:val="24"/>
          <w:lang w:val="en" w:eastAsia="en-GB"/>
        </w:rPr>
        <w:t xml:space="preserve"> to go to the NICE VTE Prevention Pathway. </w:t>
      </w:r>
    </w:p>
    <w:p w:rsidR="00C537A9" w:rsidRPr="00C537A9" w:rsidRDefault="00C537A9" w:rsidP="00C36DF8">
      <w:pPr>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The pathway is interactive and designed to be used online.</w:t>
      </w:r>
    </w:p>
    <w:p w:rsidR="00DA5444" w:rsidRPr="00C537A9" w:rsidRDefault="00DA5444" w:rsidP="0089649E">
      <w:pPr>
        <w:jc w:val="center"/>
        <w:rPr>
          <w:rFonts w:cs="Arial"/>
          <w:sz w:val="24"/>
          <w:szCs w:val="24"/>
        </w:rPr>
      </w:pPr>
      <w:r w:rsidRPr="00C537A9">
        <w:rPr>
          <w:rFonts w:cs="Arial"/>
          <w:noProof/>
          <w:sz w:val="24"/>
          <w:szCs w:val="24"/>
          <w:lang w:eastAsia="en-GB"/>
        </w:rPr>
        <w:drawing>
          <wp:inline distT="0" distB="0" distL="0" distR="0" wp14:anchorId="4F66B71E" wp14:editId="328BE499">
            <wp:extent cx="6714699" cy="54269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on_Pathway_use.png"/>
                    <pic:cNvPicPr/>
                  </pic:nvPicPr>
                  <pic:blipFill>
                    <a:blip r:embed="rId15">
                      <a:extLst>
                        <a:ext uri="{28A0092B-C50C-407E-A947-70E740481C1C}">
                          <a14:useLocalDpi xmlns:a14="http://schemas.microsoft.com/office/drawing/2010/main" val="0"/>
                        </a:ext>
                      </a:extLst>
                    </a:blip>
                    <a:stretch>
                      <a:fillRect/>
                    </a:stretch>
                  </pic:blipFill>
                  <pic:spPr>
                    <a:xfrm>
                      <a:off x="0" y="0"/>
                      <a:ext cx="6715887" cy="5427920"/>
                    </a:xfrm>
                    <a:prstGeom prst="rect">
                      <a:avLst/>
                    </a:prstGeom>
                  </pic:spPr>
                </pic:pic>
              </a:graphicData>
            </a:graphic>
          </wp:inline>
        </w:drawing>
      </w:r>
    </w:p>
    <w:p w:rsidR="00DA5444" w:rsidRPr="00C537A9" w:rsidRDefault="00DA5444" w:rsidP="00C36DF8">
      <w:pPr>
        <w:rPr>
          <w:rFonts w:cs="Arial"/>
          <w:sz w:val="24"/>
          <w:szCs w:val="24"/>
        </w:rPr>
      </w:pPr>
      <w:r w:rsidRPr="00C537A9">
        <w:rPr>
          <w:rFonts w:cs="Arial"/>
          <w:sz w:val="24"/>
          <w:szCs w:val="24"/>
        </w:rPr>
        <w:br w:type="page"/>
      </w:r>
    </w:p>
    <w:p w:rsidR="00DA5444" w:rsidRPr="00000310" w:rsidRDefault="00DA5444" w:rsidP="00C36DF8">
      <w:pPr>
        <w:pStyle w:val="Heading4"/>
        <w:spacing w:before="0"/>
        <w:rPr>
          <w:rFonts w:asciiTheme="minorHAnsi" w:hAnsiTheme="minorHAnsi" w:cs="Arial"/>
          <w:b w:val="0"/>
          <w:i w:val="0"/>
          <w:color w:val="auto"/>
          <w:sz w:val="24"/>
          <w:szCs w:val="24"/>
          <w:u w:val="single"/>
          <w:lang w:val="en"/>
        </w:rPr>
      </w:pPr>
      <w:r w:rsidRPr="00000310">
        <w:rPr>
          <w:rFonts w:asciiTheme="minorHAnsi" w:hAnsiTheme="minorHAnsi" w:cs="Arial"/>
          <w:b w:val="0"/>
          <w:i w:val="0"/>
          <w:color w:val="auto"/>
          <w:sz w:val="24"/>
          <w:szCs w:val="24"/>
          <w:u w:val="single"/>
          <w:lang w:val="en"/>
        </w:rPr>
        <w:lastRenderedPageBreak/>
        <w:t>National Contracting of NHS Services</w:t>
      </w:r>
    </w:p>
    <w:p w:rsidR="00DA5444" w:rsidRPr="00C537A9" w:rsidRDefault="00DA5444" w:rsidP="00C36DF8">
      <w:pPr>
        <w:rPr>
          <w:rFonts w:cs="Arial"/>
          <w:sz w:val="24"/>
          <w:szCs w:val="24"/>
          <w:lang w:val="en"/>
        </w:rPr>
      </w:pPr>
    </w:p>
    <w:p w:rsidR="00DA5444" w:rsidRPr="00C537A9" w:rsidRDefault="00DA5444" w:rsidP="0089649E">
      <w:pPr>
        <w:spacing w:after="120"/>
        <w:rPr>
          <w:rFonts w:eastAsia="Times New Roman" w:cs="Arial"/>
          <w:sz w:val="24"/>
          <w:szCs w:val="24"/>
          <w:lang w:val="en" w:eastAsia="en-GB"/>
        </w:rPr>
      </w:pPr>
      <w:r w:rsidRPr="00C537A9">
        <w:rPr>
          <w:rFonts w:eastAsia="Times New Roman" w:cs="Arial"/>
          <w:sz w:val="24"/>
          <w:szCs w:val="24"/>
          <w:lang w:val="en" w:eastAsia="en-GB"/>
        </w:rPr>
        <w:t>It is set out in the NHS Standard Contract that all acute hospitals must:</w:t>
      </w:r>
    </w:p>
    <w:p w:rsidR="00DA5444" w:rsidRPr="00C537A9" w:rsidRDefault="00DA5444" w:rsidP="006C50DE">
      <w:pPr>
        <w:numPr>
          <w:ilvl w:val="0"/>
          <w:numId w:val="36"/>
        </w:numPr>
        <w:spacing w:after="120"/>
        <w:rPr>
          <w:rFonts w:eastAsia="Times New Roman" w:cs="Arial"/>
          <w:sz w:val="24"/>
          <w:szCs w:val="24"/>
          <w:lang w:val="en" w:eastAsia="en-GB"/>
        </w:rPr>
      </w:pPr>
      <w:r w:rsidRPr="00C537A9">
        <w:rPr>
          <w:rFonts w:eastAsia="Times New Roman" w:cs="Arial"/>
          <w:sz w:val="24"/>
          <w:szCs w:val="24"/>
          <w:lang w:val="en" w:eastAsia="en-GB"/>
        </w:rPr>
        <w:t>Perform risk assessment of all patients on admission to hospital in line with NICE CG92</w:t>
      </w:r>
    </w:p>
    <w:p w:rsidR="00DA5444" w:rsidRPr="00C537A9" w:rsidRDefault="00DA5444" w:rsidP="006C50DE">
      <w:pPr>
        <w:numPr>
          <w:ilvl w:val="0"/>
          <w:numId w:val="36"/>
        </w:numPr>
        <w:spacing w:after="120"/>
        <w:rPr>
          <w:rFonts w:eastAsia="Times New Roman" w:cs="Arial"/>
          <w:sz w:val="24"/>
          <w:szCs w:val="24"/>
          <w:lang w:val="en" w:eastAsia="en-GB"/>
        </w:rPr>
      </w:pPr>
      <w:r w:rsidRPr="00C537A9">
        <w:rPr>
          <w:rFonts w:eastAsia="Times New Roman" w:cs="Arial"/>
          <w:sz w:val="24"/>
          <w:szCs w:val="24"/>
          <w:lang w:val="en" w:eastAsia="en-GB"/>
        </w:rPr>
        <w:t>Audit the percentage of patients risk assessed for VTE and those who receive appropriate thromboprophylaxis</w:t>
      </w:r>
    </w:p>
    <w:p w:rsidR="00DA5444" w:rsidRPr="00C537A9" w:rsidRDefault="00DA5444" w:rsidP="006C50DE">
      <w:pPr>
        <w:numPr>
          <w:ilvl w:val="0"/>
          <w:numId w:val="36"/>
        </w:numPr>
        <w:rPr>
          <w:rFonts w:eastAsia="Times New Roman" w:cs="Arial"/>
          <w:sz w:val="24"/>
          <w:szCs w:val="24"/>
          <w:lang w:val="en" w:eastAsia="en-GB"/>
        </w:rPr>
      </w:pPr>
      <w:r w:rsidRPr="00C537A9">
        <w:rPr>
          <w:rFonts w:eastAsia="Times New Roman" w:cs="Arial"/>
          <w:sz w:val="24"/>
          <w:szCs w:val="24"/>
          <w:lang w:val="en" w:eastAsia="en-GB"/>
        </w:rPr>
        <w:t>Perform root cause analysis of hospital-associated VTE cases that occur</w:t>
      </w:r>
    </w:p>
    <w:p w:rsidR="0089649E" w:rsidRDefault="0089649E" w:rsidP="00C36DF8">
      <w:pPr>
        <w:rPr>
          <w:rFonts w:eastAsia="Times New Roman" w:cs="Arial"/>
          <w:sz w:val="24"/>
          <w:szCs w:val="24"/>
          <w:lang w:val="en" w:eastAsia="en-GB"/>
        </w:rPr>
      </w:pPr>
    </w:p>
    <w:p w:rsidR="0089649E" w:rsidRPr="00C537A9" w:rsidRDefault="0089649E" w:rsidP="00C36DF8">
      <w:pPr>
        <w:rPr>
          <w:rFonts w:cs="Arial"/>
          <w:sz w:val="24"/>
          <w:szCs w:val="24"/>
          <w:lang w:val="en"/>
        </w:rPr>
      </w:pPr>
    </w:p>
    <w:p w:rsidR="00DA5444" w:rsidRPr="00000310" w:rsidRDefault="00DA5444" w:rsidP="00C36DF8">
      <w:pPr>
        <w:pStyle w:val="Heading4"/>
        <w:spacing w:before="0"/>
        <w:rPr>
          <w:rFonts w:asciiTheme="minorHAnsi" w:hAnsiTheme="minorHAnsi" w:cs="Arial"/>
          <w:b w:val="0"/>
          <w:i w:val="0"/>
          <w:color w:val="auto"/>
          <w:sz w:val="24"/>
          <w:szCs w:val="24"/>
          <w:u w:val="single"/>
          <w:lang w:val="en"/>
        </w:rPr>
      </w:pPr>
      <w:r w:rsidRPr="00000310">
        <w:rPr>
          <w:rFonts w:asciiTheme="minorHAnsi" w:hAnsiTheme="minorHAnsi" w:cs="Arial"/>
          <w:b w:val="0"/>
          <w:i w:val="0"/>
          <w:color w:val="auto"/>
          <w:sz w:val="24"/>
          <w:szCs w:val="24"/>
          <w:u w:val="single"/>
          <w:lang w:val="en"/>
        </w:rPr>
        <w:t>The Nationa</w:t>
      </w:r>
      <w:r w:rsidR="0089649E" w:rsidRPr="00000310">
        <w:rPr>
          <w:rFonts w:asciiTheme="minorHAnsi" w:hAnsiTheme="minorHAnsi" w:cs="Arial"/>
          <w:b w:val="0"/>
          <w:i w:val="0"/>
          <w:color w:val="auto"/>
          <w:sz w:val="24"/>
          <w:szCs w:val="24"/>
          <w:u w:val="single"/>
          <w:lang w:val="en"/>
        </w:rPr>
        <w:t>l CQUIN Goal For VTE Prevention</w:t>
      </w:r>
    </w:p>
    <w:p w:rsidR="0089649E" w:rsidRPr="0089649E" w:rsidRDefault="0089649E" w:rsidP="0089649E">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CQUIN, the Commissioning for Quality and Innovation Framework, was introduced into the NHS in 2009 as a financial incentive to improve quality of care.</w:t>
      </w:r>
    </w:p>
    <w:p w:rsidR="0089649E" w:rsidRPr="00C537A9" w:rsidRDefault="0089649E"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A proportion of hospitals' total contract value is made conditional on the provider achieving locally agreed improvement and innovation goals. A national CQUIN goal:</w:t>
      </w:r>
    </w:p>
    <w:p w:rsidR="0089649E" w:rsidRPr="00C537A9" w:rsidRDefault="0089649E" w:rsidP="00C36DF8">
      <w:pPr>
        <w:rPr>
          <w:rFonts w:eastAsia="Times New Roman" w:cs="Arial"/>
          <w:sz w:val="24"/>
          <w:szCs w:val="24"/>
          <w:lang w:val="en" w:eastAsia="en-GB"/>
        </w:rPr>
      </w:pPr>
    </w:p>
    <w:p w:rsidR="00DA5444" w:rsidRPr="0089649E" w:rsidRDefault="00DA5444" w:rsidP="0089649E">
      <w:pPr>
        <w:jc w:val="center"/>
        <w:rPr>
          <w:rFonts w:eastAsia="Times New Roman" w:cs="Arial"/>
          <w:b/>
          <w:sz w:val="24"/>
          <w:szCs w:val="24"/>
          <w:lang w:val="en" w:eastAsia="en-GB"/>
        </w:rPr>
      </w:pPr>
      <w:r w:rsidRPr="0089649E">
        <w:rPr>
          <w:rFonts w:eastAsia="Times New Roman" w:cs="Arial"/>
          <w:b/>
          <w:sz w:val="24"/>
          <w:szCs w:val="24"/>
          <w:lang w:val="en" w:eastAsia="en-GB"/>
        </w:rPr>
        <w:t>'To reduce avoidable death, disability and chronic ill health from VTE'</w:t>
      </w:r>
    </w:p>
    <w:p w:rsidR="0089649E" w:rsidRPr="00C537A9" w:rsidRDefault="0089649E" w:rsidP="00C36DF8">
      <w:pPr>
        <w:rPr>
          <w:rFonts w:eastAsia="Times New Roman" w:cs="Arial"/>
          <w:sz w:val="24"/>
          <w:szCs w:val="24"/>
          <w:lang w:val="en" w:eastAsia="en-GB"/>
        </w:rPr>
      </w:pPr>
    </w:p>
    <w:p w:rsidR="00AB6552" w:rsidRDefault="00DA5444" w:rsidP="00C36DF8">
      <w:pPr>
        <w:rPr>
          <w:rFonts w:eastAsia="Times New Roman" w:cs="Arial"/>
          <w:sz w:val="24"/>
          <w:szCs w:val="24"/>
          <w:lang w:val="en" w:eastAsia="en-GB"/>
        </w:rPr>
      </w:pPr>
      <w:r w:rsidRPr="00C537A9">
        <w:rPr>
          <w:rFonts w:eastAsia="Times New Roman" w:cs="Arial"/>
          <w:sz w:val="24"/>
          <w:szCs w:val="24"/>
          <w:lang w:val="en" w:eastAsia="en-GB"/>
        </w:rPr>
        <w:t>has been included as part of the scheme since 2010.</w:t>
      </w:r>
      <w:r w:rsidR="0089649E">
        <w:rPr>
          <w:rFonts w:eastAsia="Times New Roman" w:cs="Arial"/>
          <w:sz w:val="24"/>
          <w:szCs w:val="24"/>
          <w:lang w:val="en" w:eastAsia="en-GB"/>
        </w:rPr>
        <w:t xml:space="preserve">  </w:t>
      </w:r>
    </w:p>
    <w:p w:rsidR="00000310" w:rsidRPr="00C537A9" w:rsidRDefault="00000310" w:rsidP="00C36DF8">
      <w:pPr>
        <w:rPr>
          <w:rFonts w:eastAsia="Times New Roman" w:cs="Arial"/>
          <w:sz w:val="24"/>
          <w:szCs w:val="24"/>
          <w:lang w:val="en" w:eastAsia="en-GB"/>
        </w:rPr>
      </w:pPr>
    </w:p>
    <w:p w:rsidR="00DA5444" w:rsidRPr="00C537A9" w:rsidRDefault="0089649E" w:rsidP="00000310">
      <w:pPr>
        <w:spacing w:after="120"/>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69504" behindDoc="0" locked="0" layoutInCell="1" allowOverlap="1" wp14:anchorId="1D2AF170" wp14:editId="137D2A5C">
            <wp:simplePos x="0" y="0"/>
            <wp:positionH relativeFrom="column">
              <wp:posOffset>4934585</wp:posOffset>
            </wp:positionH>
            <wp:positionV relativeFrom="paragraph">
              <wp:posOffset>35560</wp:posOffset>
            </wp:positionV>
            <wp:extent cx="1903730" cy="1903730"/>
            <wp:effectExtent l="0" t="0" r="1270" b="1270"/>
            <wp:wrapSquare wrapText="bothSides"/>
            <wp:docPr id="7" name="Picture 7" descr="http://cs1.e-learningforhealthcare.org.uk/public/VTE_Public_Access/VTE_02_01/png/cquin_targets_small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1.e-learningforhealthcare.org.uk/public/VTE_Public_Access/VTE_02_01/png/cquin_targets_small_u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44" w:rsidRPr="00C537A9">
        <w:rPr>
          <w:rFonts w:eastAsia="Times New Roman" w:cs="Arial"/>
          <w:sz w:val="24"/>
          <w:szCs w:val="24"/>
          <w:lang w:val="en" w:eastAsia="en-GB"/>
        </w:rPr>
        <w:t>The 2013/14 CQUIN sets out that acute hospitals can be paid a proportion of the CQUIN money if they:</w:t>
      </w:r>
    </w:p>
    <w:p w:rsidR="00DA5444" w:rsidRPr="00C537A9" w:rsidRDefault="00DA5444" w:rsidP="006C50DE">
      <w:pPr>
        <w:numPr>
          <w:ilvl w:val="0"/>
          <w:numId w:val="39"/>
        </w:numPr>
        <w:spacing w:after="120"/>
        <w:rPr>
          <w:rFonts w:eastAsia="Times New Roman" w:cs="Arial"/>
          <w:sz w:val="24"/>
          <w:szCs w:val="24"/>
          <w:lang w:val="en" w:eastAsia="en-GB"/>
        </w:rPr>
      </w:pPr>
      <w:r w:rsidRPr="00C537A9">
        <w:rPr>
          <w:rFonts w:eastAsia="Times New Roman" w:cs="Arial"/>
          <w:sz w:val="24"/>
          <w:szCs w:val="24"/>
          <w:lang w:val="en" w:eastAsia="en-GB"/>
        </w:rPr>
        <w:t>Risk assess at least 95% of patients for their risk of VTE on admission to hospital, using an approach compliant with the National Risk Assessment Tool, AND</w:t>
      </w:r>
    </w:p>
    <w:p w:rsidR="00DA5444" w:rsidRPr="00C537A9" w:rsidRDefault="00DA5444" w:rsidP="006C50DE">
      <w:pPr>
        <w:numPr>
          <w:ilvl w:val="0"/>
          <w:numId w:val="39"/>
        </w:numPr>
        <w:rPr>
          <w:rFonts w:eastAsia="Times New Roman" w:cs="Arial"/>
          <w:sz w:val="24"/>
          <w:szCs w:val="24"/>
          <w:lang w:val="en" w:eastAsia="en-GB"/>
        </w:rPr>
      </w:pPr>
      <w:r w:rsidRPr="00C537A9">
        <w:rPr>
          <w:rFonts w:eastAsia="Times New Roman" w:cs="Arial"/>
          <w:sz w:val="24"/>
          <w:szCs w:val="24"/>
          <w:lang w:val="en" w:eastAsia="en-GB"/>
        </w:rPr>
        <w:t>Perform a locally agreed target number of root cause analyses of cases of hospital-associated VTE</w:t>
      </w:r>
    </w:p>
    <w:p w:rsidR="00AB6552" w:rsidRDefault="00AB6552"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Numbers of VTE risk assessments are reported monthly and root cause analyses, quarterly.</w:t>
      </w:r>
    </w:p>
    <w:p w:rsidR="00AB6552" w:rsidRPr="00C537A9" w:rsidRDefault="00AB6552"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 xml:space="preserve">More information on the National VTE CQUIN goal can be found on the National VTE Prevention Programme website. </w:t>
      </w:r>
    </w:p>
    <w:p w:rsidR="0089649E" w:rsidRDefault="0089649E" w:rsidP="00C36DF8">
      <w:pPr>
        <w:rPr>
          <w:rFonts w:eastAsia="Times New Roman" w:cs="Arial"/>
          <w:sz w:val="24"/>
          <w:szCs w:val="24"/>
          <w:lang w:val="en" w:eastAsia="en-GB"/>
        </w:rPr>
      </w:pPr>
    </w:p>
    <w:p w:rsidR="0089649E" w:rsidRPr="00C537A9" w:rsidRDefault="0089649E" w:rsidP="00C36DF8">
      <w:pPr>
        <w:rPr>
          <w:rFonts w:eastAsia="Times New Roman" w:cs="Arial"/>
          <w:sz w:val="24"/>
          <w:szCs w:val="24"/>
          <w:lang w:val="en" w:eastAsia="en-GB"/>
        </w:rPr>
      </w:pPr>
    </w:p>
    <w:p w:rsidR="00DA5444" w:rsidRPr="00C537A9" w:rsidRDefault="00DA5444" w:rsidP="00C36DF8">
      <w:pPr>
        <w:jc w:val="center"/>
        <w:rPr>
          <w:rFonts w:eastAsia="Times New Roman" w:cs="Arial"/>
          <w:sz w:val="24"/>
          <w:szCs w:val="24"/>
          <w:lang w:val="en" w:eastAsia="en-GB"/>
        </w:rPr>
      </w:pPr>
    </w:p>
    <w:p w:rsidR="00DA5444" w:rsidRPr="00C537A9" w:rsidRDefault="00DA5444" w:rsidP="00C36DF8">
      <w:pPr>
        <w:rPr>
          <w:rFonts w:cs="Arial"/>
          <w:sz w:val="24"/>
          <w:szCs w:val="24"/>
        </w:rPr>
      </w:pPr>
      <w:r w:rsidRPr="00C537A9">
        <w:rPr>
          <w:rFonts w:cs="Arial"/>
          <w:sz w:val="24"/>
          <w:szCs w:val="24"/>
        </w:rPr>
        <w:br w:type="page"/>
      </w:r>
    </w:p>
    <w:p w:rsidR="00C537A9" w:rsidRPr="006C50DE" w:rsidRDefault="00C537A9"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 xml:space="preserve">VTE Risk Assessment </w:t>
      </w:r>
    </w:p>
    <w:p w:rsidR="00C537A9" w:rsidRPr="00C537A9" w:rsidRDefault="00C537A9" w:rsidP="00C537A9">
      <w:pPr>
        <w:rPr>
          <w:lang w:val="en"/>
        </w:rPr>
      </w:pP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Introduction</w:t>
      </w:r>
    </w:p>
    <w:p w:rsidR="00C537A9" w:rsidRPr="00C537A9" w:rsidRDefault="00C537A9" w:rsidP="00C537A9">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Risk assessment should be undertaken using the National VTE Risk Assessment Tool.</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In some Trusts, risk assessment is performed using an electronic tool, but in others the risk assessment is paper-based.</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You may find that your Trust has implemented a local approach to VTE risk assessment that incorporates the elements of the National Risk Assessment Tool.</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You should ensure you are familiar with your local VTE prevention policy.</w:t>
      </w:r>
    </w:p>
    <w:p w:rsidR="0089649E" w:rsidRPr="00C537A9" w:rsidRDefault="0089649E" w:rsidP="00C36DF8">
      <w:pPr>
        <w:rPr>
          <w:rFonts w:eastAsia="Times New Roman" w:cs="Arial"/>
          <w:sz w:val="24"/>
          <w:szCs w:val="24"/>
          <w:lang w:val="en" w:eastAsia="en-GB"/>
        </w:rPr>
      </w:pPr>
    </w:p>
    <w:p w:rsidR="00DA5444" w:rsidRPr="00C537A9" w:rsidRDefault="00DA5444" w:rsidP="00C36DF8">
      <w:pPr>
        <w:rPr>
          <w:rFonts w:cs="Arial"/>
          <w:sz w:val="24"/>
          <w:szCs w:val="24"/>
        </w:rPr>
      </w:pPr>
      <w:r w:rsidRPr="00C537A9">
        <w:rPr>
          <w:rFonts w:cs="Arial"/>
          <w:noProof/>
          <w:sz w:val="24"/>
          <w:szCs w:val="24"/>
          <w:lang w:eastAsia="en-GB"/>
        </w:rPr>
        <w:drawing>
          <wp:inline distT="0" distB="0" distL="0" distR="0" wp14:anchorId="594EF8DF" wp14:editId="45AE7654">
            <wp:extent cx="6844352" cy="5703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0_use.png"/>
                    <pic:cNvPicPr/>
                  </pic:nvPicPr>
                  <pic:blipFill>
                    <a:blip r:embed="rId17">
                      <a:extLst>
                        <a:ext uri="{28A0092B-C50C-407E-A947-70E740481C1C}">
                          <a14:useLocalDpi xmlns:a14="http://schemas.microsoft.com/office/drawing/2010/main" val="0"/>
                        </a:ext>
                      </a:extLst>
                    </a:blip>
                    <a:stretch>
                      <a:fillRect/>
                    </a:stretch>
                  </pic:blipFill>
                  <pic:spPr>
                    <a:xfrm>
                      <a:off x="0" y="0"/>
                      <a:ext cx="6843696" cy="5702575"/>
                    </a:xfrm>
                    <a:prstGeom prst="rect">
                      <a:avLst/>
                    </a:prstGeom>
                  </pic:spPr>
                </pic:pic>
              </a:graphicData>
            </a:graphic>
          </wp:inline>
        </w:drawing>
      </w:r>
    </w:p>
    <w:p w:rsidR="00DA5444" w:rsidRPr="00C537A9" w:rsidRDefault="00DA5444" w:rsidP="00C36DF8">
      <w:pPr>
        <w:rPr>
          <w:rFonts w:cs="Arial"/>
          <w:sz w:val="24"/>
          <w:szCs w:val="24"/>
        </w:rPr>
      </w:pPr>
      <w:r w:rsidRPr="00C537A9">
        <w:rPr>
          <w:rFonts w:cs="Arial"/>
          <w:sz w:val="24"/>
          <w:szCs w:val="24"/>
        </w:rPr>
        <w:br w:type="page"/>
      </w: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lastRenderedPageBreak/>
        <w:t>Step 1: Assess mobility</w:t>
      </w:r>
    </w:p>
    <w:p w:rsidR="00C537A9" w:rsidRPr="00C537A9" w:rsidRDefault="00C537A9" w:rsidP="00C537A9">
      <w:pPr>
        <w:rPr>
          <w:lang w:val="en"/>
        </w:rPr>
      </w:pPr>
    </w:p>
    <w:p w:rsidR="00DA5444"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All surgical patients, and all medical patients with significantly reduced mobility, should be considered for further risk assessment.</w:t>
      </w:r>
    </w:p>
    <w:p w:rsidR="00C537A9" w:rsidRPr="00C537A9" w:rsidRDefault="00C537A9" w:rsidP="00C36DF8">
      <w:pPr>
        <w:pStyle w:val="NormalWeb"/>
        <w:spacing w:before="0" w:beforeAutospacing="0" w:after="0" w:afterAutospacing="0"/>
        <w:rPr>
          <w:rFonts w:asciiTheme="minorHAnsi" w:hAnsiTheme="minorHAnsi" w:cs="Arial"/>
          <w:lang w:val="en"/>
        </w:rPr>
      </w:pPr>
    </w:p>
    <w:p w:rsidR="00DA5444" w:rsidRPr="00C537A9"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If a patient is a medical admission and not expected to be immobile, a simple tick completes the risk assessment process.</w:t>
      </w:r>
    </w:p>
    <w:p w:rsidR="00DA5444" w:rsidRPr="00C537A9" w:rsidRDefault="00DA5444" w:rsidP="0089649E">
      <w:pPr>
        <w:pStyle w:val="NormalWeb"/>
        <w:spacing w:before="0" w:beforeAutospacing="0" w:after="0" w:afterAutospacing="0"/>
        <w:jc w:val="center"/>
        <w:rPr>
          <w:rFonts w:asciiTheme="minorHAnsi" w:hAnsiTheme="minorHAnsi" w:cs="Arial"/>
          <w:lang w:val="en"/>
        </w:rPr>
      </w:pPr>
      <w:r w:rsidRPr="00C537A9">
        <w:rPr>
          <w:rFonts w:asciiTheme="minorHAnsi" w:hAnsiTheme="minorHAnsi" w:cs="Arial"/>
          <w:noProof/>
        </w:rPr>
        <w:drawing>
          <wp:inline distT="0" distB="0" distL="0" distR="0" wp14:anchorId="082E3315" wp14:editId="6F6A528A">
            <wp:extent cx="7023538" cy="1753737"/>
            <wp:effectExtent l="0" t="0" r="6350" b="0"/>
            <wp:docPr id="11" name="Picture 11" descr="http://cs1.e-learningforhealthcare.org.uk/public/VTE_Public_Access/VTE_02_01/png/image22_new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1.e-learningforhealthcare.org.uk/public/VTE_Public_Access/VTE_02_01/png/image22_new_u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791" cy="1754050"/>
                    </a:xfrm>
                    <a:prstGeom prst="rect">
                      <a:avLst/>
                    </a:prstGeom>
                    <a:noFill/>
                    <a:ln>
                      <a:noFill/>
                    </a:ln>
                  </pic:spPr>
                </pic:pic>
              </a:graphicData>
            </a:graphic>
          </wp:inline>
        </w:drawing>
      </w:r>
    </w:p>
    <w:p w:rsidR="00C537A9" w:rsidRDefault="00C537A9" w:rsidP="00C36DF8">
      <w:pPr>
        <w:pStyle w:val="Heading4"/>
        <w:spacing w:before="0"/>
        <w:rPr>
          <w:rFonts w:asciiTheme="minorHAnsi" w:hAnsiTheme="minorHAnsi" w:cs="Arial"/>
          <w:b w:val="0"/>
          <w:i w:val="0"/>
          <w:color w:val="auto"/>
          <w:sz w:val="24"/>
          <w:szCs w:val="24"/>
          <w:u w:val="single"/>
          <w:lang w:val="en"/>
        </w:rPr>
      </w:pPr>
    </w:p>
    <w:p w:rsidR="00CF2564" w:rsidRPr="00CF2564" w:rsidRDefault="00CF2564" w:rsidP="00CF2564">
      <w:pPr>
        <w:rPr>
          <w:lang w:val="en"/>
        </w:rPr>
      </w:pP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Step 2: Assess risk factors</w:t>
      </w:r>
    </w:p>
    <w:p w:rsidR="00C537A9" w:rsidRPr="00C537A9" w:rsidRDefault="00C537A9" w:rsidP="00C537A9">
      <w:pPr>
        <w:rPr>
          <w:lang w:val="en"/>
        </w:rPr>
      </w:pPr>
    </w:p>
    <w:p w:rsidR="00DA5444"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Any tick in these boxes indicates that the patient is at risk of VTE. For example, a patient with hip fracture is at risk of VTE.</w:t>
      </w:r>
    </w:p>
    <w:p w:rsidR="00CF2564" w:rsidRPr="00C537A9" w:rsidRDefault="00CF2564" w:rsidP="00C36DF8">
      <w:pPr>
        <w:pStyle w:val="NormalWeb"/>
        <w:spacing w:before="0" w:beforeAutospacing="0" w:after="0" w:afterAutospacing="0"/>
        <w:rPr>
          <w:rFonts w:asciiTheme="minorHAnsi" w:hAnsiTheme="minorHAnsi" w:cs="Arial"/>
          <w:lang w:val="en"/>
        </w:rPr>
      </w:pPr>
    </w:p>
    <w:p w:rsidR="00DA5444" w:rsidRPr="00C537A9" w:rsidRDefault="00DA5444" w:rsidP="0089649E">
      <w:pPr>
        <w:pStyle w:val="NormalWeb"/>
        <w:spacing w:before="0" w:beforeAutospacing="0" w:after="0" w:afterAutospacing="0"/>
        <w:jc w:val="center"/>
        <w:rPr>
          <w:rFonts w:asciiTheme="minorHAnsi" w:hAnsiTheme="minorHAnsi" w:cs="Arial"/>
          <w:lang w:val="en"/>
        </w:rPr>
      </w:pPr>
      <w:r w:rsidRPr="00C537A9">
        <w:rPr>
          <w:rFonts w:asciiTheme="minorHAnsi" w:hAnsiTheme="minorHAnsi" w:cs="Arial"/>
          <w:noProof/>
        </w:rPr>
        <w:drawing>
          <wp:inline distT="0" distB="0" distL="0" distR="0" wp14:anchorId="68236471" wp14:editId="30D14427">
            <wp:extent cx="6942299" cy="4005618"/>
            <wp:effectExtent l="0" t="0" r="0" b="0"/>
            <wp:docPr id="12" name="Picture 12" descr="http://cs1.e-learningforhealthcare.org.uk/public/VTE_Public_Access/VTE_02_01/png/image5_new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1.e-learningforhealthcare.org.uk/public/VTE_Public_Access/VTE_02_01/png/image5_new_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1698" cy="4005271"/>
                    </a:xfrm>
                    <a:prstGeom prst="rect">
                      <a:avLst/>
                    </a:prstGeom>
                    <a:noFill/>
                    <a:ln>
                      <a:noFill/>
                    </a:ln>
                  </pic:spPr>
                </pic:pic>
              </a:graphicData>
            </a:graphic>
          </wp:inline>
        </w:drawing>
      </w:r>
    </w:p>
    <w:p w:rsidR="00C537A9" w:rsidRDefault="00C537A9" w:rsidP="00C36DF8">
      <w:pPr>
        <w:pStyle w:val="Heading4"/>
        <w:spacing w:before="0"/>
        <w:rPr>
          <w:rFonts w:asciiTheme="minorHAnsi" w:hAnsiTheme="minorHAnsi" w:cs="Arial"/>
          <w:b w:val="0"/>
          <w:i w:val="0"/>
          <w:color w:val="auto"/>
          <w:sz w:val="24"/>
          <w:szCs w:val="24"/>
          <w:u w:val="single"/>
          <w:lang w:val="en"/>
        </w:rPr>
      </w:pPr>
    </w:p>
    <w:p w:rsidR="0089649E" w:rsidRDefault="0089649E">
      <w:pPr>
        <w:rPr>
          <w:rFonts w:eastAsiaTheme="majorEastAsia" w:cs="Arial"/>
          <w:bCs/>
          <w:iCs/>
          <w:sz w:val="24"/>
          <w:szCs w:val="24"/>
          <w:u w:val="single"/>
          <w:lang w:val="en"/>
        </w:rPr>
      </w:pPr>
      <w:r>
        <w:rPr>
          <w:rFonts w:cs="Arial"/>
          <w:b/>
          <w:i/>
          <w:sz w:val="24"/>
          <w:szCs w:val="24"/>
          <w:u w:val="single"/>
          <w:lang w:val="en"/>
        </w:rPr>
        <w:br w:type="page"/>
      </w: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lastRenderedPageBreak/>
        <w:t>Step 3: Assess bleeding risk</w:t>
      </w:r>
    </w:p>
    <w:p w:rsidR="00C537A9" w:rsidRPr="00C537A9" w:rsidRDefault="00C537A9" w:rsidP="00C537A9">
      <w:pPr>
        <w:rPr>
          <w:lang w:val="en"/>
        </w:rPr>
      </w:pPr>
    </w:p>
    <w:p w:rsidR="00DA5444" w:rsidRPr="00C537A9"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The risk of bleeding must always be considered before prevention steps are taken. Any tick should prompt clinical staff to consider if bleeding risk is sufficient to preclude pharmacological intervention.</w:t>
      </w:r>
    </w:p>
    <w:p w:rsidR="00DA5444"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For example, a patient who is thrombocytopenic (platelets &lt; 75) is at risk of bleeding.</w:t>
      </w:r>
    </w:p>
    <w:p w:rsidR="00CF2564" w:rsidRPr="00C537A9" w:rsidRDefault="00CF2564" w:rsidP="00C36DF8">
      <w:pPr>
        <w:pStyle w:val="NormalWeb"/>
        <w:spacing w:before="0" w:beforeAutospacing="0" w:after="0" w:afterAutospacing="0"/>
        <w:rPr>
          <w:rFonts w:asciiTheme="minorHAnsi" w:hAnsiTheme="minorHAnsi" w:cs="Arial"/>
          <w:lang w:val="en"/>
        </w:rPr>
      </w:pPr>
    </w:p>
    <w:p w:rsidR="00DA5444" w:rsidRDefault="00DA5444" w:rsidP="00C36DF8">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More information on the National Risk Assessment can be found on the National VTE Prevention Programme website.</w:t>
      </w:r>
    </w:p>
    <w:p w:rsidR="00CF2564" w:rsidRPr="00C537A9" w:rsidRDefault="00CF2564" w:rsidP="00C36DF8">
      <w:pPr>
        <w:pStyle w:val="NormalWeb"/>
        <w:spacing w:before="0" w:beforeAutospacing="0" w:after="0" w:afterAutospacing="0"/>
        <w:rPr>
          <w:rFonts w:asciiTheme="minorHAnsi" w:hAnsiTheme="minorHAnsi" w:cs="Arial"/>
          <w:lang w:val="en"/>
        </w:rPr>
      </w:pPr>
    </w:p>
    <w:p w:rsidR="00DA5444" w:rsidRPr="00C537A9" w:rsidRDefault="00DA5444" w:rsidP="0089649E">
      <w:pPr>
        <w:pStyle w:val="NormalWeb"/>
        <w:spacing w:before="0" w:beforeAutospacing="0" w:after="0" w:afterAutospacing="0"/>
        <w:jc w:val="center"/>
        <w:rPr>
          <w:rFonts w:asciiTheme="minorHAnsi" w:hAnsiTheme="minorHAnsi" w:cs="Arial"/>
          <w:lang w:val="en"/>
        </w:rPr>
      </w:pPr>
      <w:r w:rsidRPr="00C537A9">
        <w:rPr>
          <w:rFonts w:asciiTheme="minorHAnsi" w:hAnsiTheme="minorHAnsi" w:cs="Arial"/>
          <w:noProof/>
        </w:rPr>
        <w:drawing>
          <wp:inline distT="0" distB="0" distL="0" distR="0" wp14:anchorId="40135932" wp14:editId="41519F71">
            <wp:extent cx="7012963" cy="2756847"/>
            <wp:effectExtent l="0" t="0" r="0" b="5715"/>
            <wp:docPr id="13" name="Picture 13" descr="http://cs1.e-learningforhealthcare.org.uk/public/VTE_Public_Access/VTE_02_01/png/image4_new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1.e-learningforhealthcare.org.uk/public/VTE_Public_Access/VTE_02_01/png/image4_new_u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3913" cy="2757220"/>
                    </a:xfrm>
                    <a:prstGeom prst="rect">
                      <a:avLst/>
                    </a:prstGeom>
                    <a:noFill/>
                    <a:ln>
                      <a:noFill/>
                    </a:ln>
                  </pic:spPr>
                </pic:pic>
              </a:graphicData>
            </a:graphic>
          </wp:inline>
        </w:drawing>
      </w:r>
    </w:p>
    <w:p w:rsidR="00C537A9" w:rsidRDefault="00C537A9" w:rsidP="00C36DF8">
      <w:pPr>
        <w:pStyle w:val="Heading4"/>
        <w:spacing w:before="0"/>
        <w:rPr>
          <w:rFonts w:asciiTheme="minorHAnsi" w:hAnsiTheme="minorHAnsi" w:cs="Arial"/>
          <w:i w:val="0"/>
          <w:color w:val="auto"/>
          <w:sz w:val="24"/>
          <w:szCs w:val="24"/>
          <w:lang w:val="en"/>
        </w:rPr>
      </w:pPr>
    </w:p>
    <w:p w:rsidR="0089649E" w:rsidRDefault="0089649E">
      <w:pPr>
        <w:rPr>
          <w:rFonts w:eastAsiaTheme="majorEastAsia" w:cs="Arial"/>
          <w:b/>
          <w:bCs/>
          <w:iCs/>
          <w:sz w:val="24"/>
          <w:szCs w:val="24"/>
          <w:lang w:val="en"/>
        </w:rPr>
      </w:pPr>
      <w:r>
        <w:rPr>
          <w:rFonts w:cs="Arial"/>
          <w:i/>
          <w:sz w:val="24"/>
          <w:szCs w:val="24"/>
          <w:lang w:val="en"/>
        </w:rPr>
        <w:br w:type="page"/>
      </w:r>
    </w:p>
    <w:p w:rsidR="00C537A9" w:rsidRPr="006C50DE" w:rsidRDefault="00DA5444"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Root Cause Analysis</w:t>
      </w:r>
    </w:p>
    <w:p w:rsidR="00C537A9" w:rsidRDefault="00C537A9" w:rsidP="00C36DF8">
      <w:pPr>
        <w:pStyle w:val="Heading4"/>
        <w:spacing w:before="0"/>
        <w:rPr>
          <w:rFonts w:asciiTheme="minorHAnsi" w:hAnsiTheme="minorHAnsi" w:cs="Arial"/>
          <w:b w:val="0"/>
          <w:i w:val="0"/>
          <w:color w:val="auto"/>
          <w:sz w:val="24"/>
          <w:szCs w:val="24"/>
          <w:u w:val="single"/>
          <w:lang w:val="en"/>
        </w:rPr>
      </w:pP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Introduction</w:t>
      </w:r>
    </w:p>
    <w:p w:rsidR="00C537A9" w:rsidRPr="00C537A9" w:rsidRDefault="000442A8" w:rsidP="00C537A9">
      <w:pPr>
        <w:rPr>
          <w:lang w:val="en"/>
        </w:rPr>
      </w:pPr>
      <w:r w:rsidRPr="00C537A9">
        <w:rPr>
          <w:rFonts w:eastAsia="Times New Roman" w:cs="Arial"/>
          <w:noProof/>
          <w:sz w:val="24"/>
          <w:szCs w:val="24"/>
          <w:lang w:eastAsia="en-GB"/>
        </w:rPr>
        <w:drawing>
          <wp:anchor distT="0" distB="0" distL="114300" distR="114300" simplePos="0" relativeHeight="251671552" behindDoc="0" locked="0" layoutInCell="1" allowOverlap="1" wp14:anchorId="09717009" wp14:editId="5FE3AD3C">
            <wp:simplePos x="0" y="0"/>
            <wp:positionH relativeFrom="column">
              <wp:posOffset>3787775</wp:posOffset>
            </wp:positionH>
            <wp:positionV relativeFrom="paragraph">
              <wp:posOffset>28575</wp:posOffset>
            </wp:positionV>
            <wp:extent cx="2951480" cy="2971800"/>
            <wp:effectExtent l="0" t="0" r="1270" b="0"/>
            <wp:wrapSquare wrapText="bothSides"/>
            <wp:docPr id="15" name="Picture 15" descr="http://cs1.e-learningforhealthcare.org.uk/public/VTE_Public_Access/VTE_02_01/jpg/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1.e-learningforhealthcare.org.uk/public/VTE_Public_Access/VTE_02_01/jpg/Image2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 r="34320"/>
                    <a:stretch/>
                  </pic:blipFill>
                  <pic:spPr bwMode="auto">
                    <a:xfrm>
                      <a:off x="0" y="0"/>
                      <a:ext cx="295148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If a DVT or PE occurs while the patient is in hospital or up to 90 days from admission, then the clinical team should conduct a root cause analysis to attempt to understand why that patient suffered a thromboembolic event.</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In this patient (Fig 1), ultrasound confirmed the diagnosis of DVT. The superficial femoral vein is occluded with the tongue of thrombus extending into the common femoral vein.</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Such a diagnosis within 90 days of hospitalisation is classed as a hospital-associated VTE and should be reported to your local team for review and analysis.</w:t>
      </w:r>
    </w:p>
    <w:p w:rsidR="000442A8" w:rsidRDefault="000442A8" w:rsidP="00C36DF8">
      <w:pPr>
        <w:rPr>
          <w:rFonts w:eastAsia="Times New Roman" w:cs="Arial"/>
          <w:sz w:val="24"/>
          <w:szCs w:val="24"/>
          <w:lang w:val="en" w:eastAsia="en-GB"/>
        </w:rPr>
      </w:pPr>
    </w:p>
    <w:p w:rsidR="00CF2564" w:rsidRPr="00CF2564" w:rsidRDefault="00CF2564" w:rsidP="00C36DF8">
      <w:pPr>
        <w:rPr>
          <w:rFonts w:eastAsia="Times New Roman" w:cs="Arial"/>
          <w:sz w:val="6"/>
          <w:szCs w:val="24"/>
          <w:lang w:val="en" w:eastAsia="en-GB"/>
        </w:rPr>
      </w:pPr>
    </w:p>
    <w:p w:rsidR="00CF2564" w:rsidRPr="00C537A9" w:rsidRDefault="00CF2564" w:rsidP="00C36DF8">
      <w:pPr>
        <w:rPr>
          <w:rFonts w:eastAsia="Times New Roman" w:cs="Arial"/>
          <w:sz w:val="24"/>
          <w:szCs w:val="24"/>
          <w:lang w:val="en"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35"/>
      </w:tblGrid>
      <w:tr w:rsidR="00C537A9" w:rsidRPr="00C537A9" w:rsidTr="00CF2564">
        <w:trPr>
          <w:tblCellSpacing w:w="15" w:type="dxa"/>
        </w:trPr>
        <w:tc>
          <w:tcPr>
            <w:tcW w:w="10475" w:type="dxa"/>
            <w:vAlign w:val="center"/>
            <w:hideMark/>
          </w:tcPr>
          <w:p w:rsidR="00DA5444" w:rsidRPr="00C537A9" w:rsidRDefault="00DA5444" w:rsidP="00CF2564">
            <w:pPr>
              <w:jc w:val="right"/>
              <w:rPr>
                <w:rFonts w:eastAsia="Times New Roman" w:cs="Arial"/>
                <w:sz w:val="24"/>
                <w:szCs w:val="24"/>
                <w:lang w:eastAsia="en-GB"/>
              </w:rPr>
            </w:pPr>
            <w:r w:rsidRPr="00C537A9">
              <w:rPr>
                <w:rFonts w:eastAsia="Times New Roman" w:cs="Arial"/>
                <w:b/>
                <w:bCs/>
                <w:sz w:val="24"/>
                <w:szCs w:val="24"/>
                <w:lang w:eastAsia="en-GB"/>
              </w:rPr>
              <w:t>Fig 1</w:t>
            </w:r>
            <w:r w:rsidR="000442A8">
              <w:rPr>
                <w:rFonts w:eastAsia="Times New Roman" w:cs="Arial"/>
                <w:sz w:val="24"/>
                <w:szCs w:val="24"/>
                <w:lang w:eastAsia="en-GB"/>
              </w:rPr>
              <w:t xml:space="preserve"> </w:t>
            </w:r>
            <w:r w:rsidRPr="00C537A9">
              <w:rPr>
                <w:rFonts w:eastAsia="Times New Roman" w:cs="Arial"/>
                <w:sz w:val="24"/>
                <w:szCs w:val="24"/>
                <w:lang w:eastAsia="en-GB"/>
              </w:rPr>
              <w:t>The superficial femoral vein is occluded</w:t>
            </w:r>
          </w:p>
        </w:tc>
      </w:tr>
    </w:tbl>
    <w:p w:rsidR="00C537A9" w:rsidRDefault="00C537A9" w:rsidP="00C36DF8">
      <w:pPr>
        <w:pStyle w:val="Heading4"/>
        <w:spacing w:before="0"/>
        <w:rPr>
          <w:rFonts w:asciiTheme="minorHAnsi" w:hAnsiTheme="minorHAnsi" w:cs="Arial"/>
          <w:b w:val="0"/>
          <w:i w:val="0"/>
          <w:color w:val="auto"/>
          <w:sz w:val="24"/>
          <w:szCs w:val="24"/>
          <w:u w:val="single"/>
          <w:lang w:val="en"/>
        </w:rPr>
      </w:pP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What Causes Hospital-associated VTE</w:t>
      </w:r>
    </w:p>
    <w:p w:rsidR="00C537A9" w:rsidRPr="00C537A9" w:rsidRDefault="00C537A9" w:rsidP="00C537A9">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Root cause analysis of a VTE event provides a systematic and evidence based method of finding out what factors or events lead to a patient suffering VTE.</w:t>
      </w:r>
    </w:p>
    <w:p w:rsidR="00CF2564" w:rsidRPr="00C537A9" w:rsidRDefault="00CF2564" w:rsidP="00C36DF8">
      <w:pPr>
        <w:rPr>
          <w:rFonts w:eastAsia="Times New Roman" w:cs="Arial"/>
          <w:sz w:val="24"/>
          <w:szCs w:val="24"/>
          <w:lang w:val="en" w:eastAsia="en-GB"/>
        </w:rPr>
      </w:pPr>
    </w:p>
    <w:p w:rsidR="00DA5444" w:rsidRPr="00C537A9" w:rsidRDefault="00DA5444" w:rsidP="00CF2564">
      <w:pPr>
        <w:spacing w:after="240"/>
        <w:rPr>
          <w:rFonts w:eastAsia="Times New Roman" w:cs="Arial"/>
          <w:sz w:val="24"/>
          <w:szCs w:val="24"/>
          <w:lang w:val="en" w:eastAsia="en-GB"/>
        </w:rPr>
      </w:pPr>
      <w:r w:rsidRPr="00C537A9">
        <w:rPr>
          <w:rFonts w:eastAsia="Times New Roman" w:cs="Arial"/>
          <w:sz w:val="24"/>
          <w:szCs w:val="24"/>
          <w:lang w:val="en" w:eastAsia="en-GB"/>
        </w:rPr>
        <w:t>The results of the root cause analysis will help hospitals to:</w:t>
      </w:r>
    </w:p>
    <w:p w:rsidR="00DA5444" w:rsidRPr="00C537A9" w:rsidRDefault="00DA5444" w:rsidP="006C50DE">
      <w:pPr>
        <w:numPr>
          <w:ilvl w:val="0"/>
          <w:numId w:val="2"/>
        </w:numPr>
        <w:spacing w:after="240"/>
        <w:rPr>
          <w:rFonts w:eastAsia="Times New Roman" w:cs="Arial"/>
          <w:sz w:val="24"/>
          <w:szCs w:val="24"/>
          <w:lang w:val="en" w:eastAsia="en-GB"/>
        </w:rPr>
      </w:pPr>
      <w:r w:rsidRPr="00C537A9">
        <w:rPr>
          <w:rFonts w:eastAsia="Times New Roman" w:cs="Arial"/>
          <w:sz w:val="24"/>
          <w:szCs w:val="24"/>
          <w:lang w:val="en" w:eastAsia="en-GB"/>
        </w:rPr>
        <w:t>Gain a better understanding of the contributory factors and causes associated with VTE events</w:t>
      </w:r>
    </w:p>
    <w:p w:rsidR="00DA5444" w:rsidRDefault="00DA5444" w:rsidP="006C50DE">
      <w:pPr>
        <w:numPr>
          <w:ilvl w:val="0"/>
          <w:numId w:val="2"/>
        </w:numPr>
        <w:rPr>
          <w:rFonts w:eastAsia="Times New Roman" w:cs="Arial"/>
          <w:sz w:val="24"/>
          <w:szCs w:val="24"/>
          <w:lang w:val="en" w:eastAsia="en-GB"/>
        </w:rPr>
      </w:pPr>
      <w:r w:rsidRPr="00C537A9">
        <w:rPr>
          <w:rFonts w:eastAsia="Times New Roman" w:cs="Arial"/>
          <w:sz w:val="24"/>
          <w:szCs w:val="24"/>
          <w:lang w:val="en" w:eastAsia="en-GB"/>
        </w:rPr>
        <w:t>Take action to reduce the risk</w:t>
      </w:r>
      <w:r w:rsidR="00CF2564">
        <w:rPr>
          <w:rFonts w:eastAsia="Times New Roman" w:cs="Arial"/>
          <w:sz w:val="24"/>
          <w:szCs w:val="24"/>
          <w:lang w:val="en" w:eastAsia="en-GB"/>
        </w:rPr>
        <w:t xml:space="preserve"> of them occurring in the future</w:t>
      </w:r>
    </w:p>
    <w:p w:rsidR="00CF2564" w:rsidRPr="00C537A9" w:rsidRDefault="00CF2564" w:rsidP="00CF2564">
      <w:pPr>
        <w:ind w:left="720"/>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noProof/>
          <w:sz w:val="24"/>
          <w:szCs w:val="24"/>
          <w:lang w:eastAsia="en-GB"/>
        </w:rPr>
        <w:drawing>
          <wp:inline distT="0" distB="0" distL="0" distR="0" wp14:anchorId="7C4E5E93" wp14:editId="658F157A">
            <wp:extent cx="6959550" cy="1078173"/>
            <wp:effectExtent l="0" t="0" r="0" b="0"/>
            <wp:docPr id="16" name="Picture 16" descr="http://cs1.e-learningforhealthcare.org.uk/public/VTE_Public_Access/VTE_02_01/png/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1.e-learningforhealthcare.org.uk/public/VTE_Public_Access/VTE_02_01/png/image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3846" cy="1078839"/>
                    </a:xfrm>
                    <a:prstGeom prst="rect">
                      <a:avLst/>
                    </a:prstGeom>
                    <a:noFill/>
                    <a:ln>
                      <a:noFill/>
                    </a:ln>
                  </pic:spPr>
                </pic:pic>
              </a:graphicData>
            </a:graphic>
          </wp:inline>
        </w:drawing>
      </w:r>
    </w:p>
    <w:p w:rsidR="00C537A9" w:rsidRDefault="00C537A9" w:rsidP="00C36DF8">
      <w:pPr>
        <w:pStyle w:val="Heading4"/>
        <w:spacing w:before="0"/>
        <w:rPr>
          <w:rFonts w:asciiTheme="minorHAnsi" w:hAnsiTheme="minorHAnsi" w:cs="Arial"/>
          <w:b w:val="0"/>
          <w:i w:val="0"/>
          <w:color w:val="auto"/>
          <w:sz w:val="24"/>
          <w:szCs w:val="24"/>
          <w:u w:val="single"/>
          <w:lang w:val="en"/>
        </w:rPr>
      </w:pPr>
    </w:p>
    <w:p w:rsidR="000442A8" w:rsidRDefault="000442A8">
      <w:pPr>
        <w:rPr>
          <w:rFonts w:eastAsiaTheme="majorEastAsia" w:cs="Arial"/>
          <w:bCs/>
          <w:iCs/>
          <w:sz w:val="24"/>
          <w:szCs w:val="24"/>
          <w:u w:val="single"/>
          <w:lang w:val="en"/>
        </w:rPr>
      </w:pPr>
      <w:r>
        <w:rPr>
          <w:rFonts w:cs="Arial"/>
          <w:b/>
          <w:i/>
          <w:sz w:val="24"/>
          <w:szCs w:val="24"/>
          <w:u w:val="single"/>
          <w:lang w:val="en"/>
        </w:rPr>
        <w:br w:type="page"/>
      </w: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lastRenderedPageBreak/>
        <w:t>Identifying Hospital-associated VTE</w:t>
      </w:r>
    </w:p>
    <w:p w:rsidR="00C537A9" w:rsidRPr="00C537A9" w:rsidRDefault="00C537A9" w:rsidP="00C537A9">
      <w:pPr>
        <w:rPr>
          <w:lang w:val="en"/>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Cases of VTE can be identified through diagnostic services (scans positive for PE or DVT), pathology (autopsy) and bereavement (death certificate data) services. Approximately half these cases might be expected to be a hospital-associated VTE.</w:t>
      </w:r>
    </w:p>
    <w:p w:rsidR="00DA5444" w:rsidRPr="00C537A9" w:rsidRDefault="00DA5444" w:rsidP="00C36DF8">
      <w:pPr>
        <w:rPr>
          <w:rFonts w:eastAsia="Times New Roman" w:cs="Arial"/>
          <w:sz w:val="24"/>
          <w:szCs w:val="24"/>
          <w:lang w:val="en" w:eastAsia="en-GB"/>
        </w:rPr>
      </w:pPr>
      <w:r w:rsidRPr="00C537A9">
        <w:rPr>
          <w:rFonts w:eastAsia="Times New Roman" w:cs="Arial"/>
          <w:noProof/>
          <w:sz w:val="24"/>
          <w:szCs w:val="24"/>
          <w:lang w:eastAsia="en-GB"/>
        </w:rPr>
        <w:drawing>
          <wp:inline distT="0" distB="0" distL="0" distR="0" wp14:anchorId="19AFFD8E" wp14:editId="0F9EFF0A">
            <wp:extent cx="6093460" cy="1945005"/>
            <wp:effectExtent l="0" t="0" r="2540" b="0"/>
            <wp:docPr id="17" name="Picture 17" descr="http://cs1.e-learningforhealthcare.org.uk/public/VTE_Public_Access/VTE_02_01/png/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1.e-learningforhealthcare.org.uk/public/VTE_Public_Access/VTE_02_01/png/image2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460" cy="1945005"/>
                    </a:xfrm>
                    <a:prstGeom prst="rect">
                      <a:avLst/>
                    </a:prstGeom>
                    <a:noFill/>
                    <a:ln>
                      <a:noFill/>
                    </a:ln>
                  </pic:spPr>
                </pic:pic>
              </a:graphicData>
            </a:graphic>
          </wp:inline>
        </w:drawing>
      </w: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 xml:space="preserve">More information on the National Risk Assessment can be found on the National VTE Prevention Programme website. </w:t>
      </w:r>
    </w:p>
    <w:p w:rsidR="00C36DF8" w:rsidRPr="00C537A9" w:rsidRDefault="00C36DF8" w:rsidP="00C36DF8">
      <w:pPr>
        <w:rPr>
          <w:rFonts w:eastAsia="Times New Roman" w:cs="Arial"/>
          <w:sz w:val="24"/>
          <w:szCs w:val="24"/>
          <w:lang w:val="en" w:eastAsia="en-GB"/>
        </w:rPr>
      </w:pPr>
    </w:p>
    <w:p w:rsidR="00C36DF8" w:rsidRDefault="00C36DF8">
      <w:pPr>
        <w:rPr>
          <w:rFonts w:cs="Arial"/>
          <w:i/>
          <w:sz w:val="24"/>
          <w:szCs w:val="24"/>
          <w:lang w:val="en"/>
        </w:rPr>
      </w:pPr>
    </w:p>
    <w:p w:rsidR="00CF2564" w:rsidRPr="00C537A9" w:rsidRDefault="00CF2564">
      <w:pPr>
        <w:rPr>
          <w:rFonts w:eastAsiaTheme="majorEastAsia" w:cs="Arial"/>
          <w:b/>
          <w:bCs/>
          <w:iCs/>
          <w:sz w:val="24"/>
          <w:szCs w:val="24"/>
          <w:lang w:val="en"/>
        </w:rPr>
      </w:pPr>
    </w:p>
    <w:p w:rsidR="00CF2564" w:rsidRDefault="00CF2564">
      <w:pPr>
        <w:rPr>
          <w:rFonts w:eastAsiaTheme="majorEastAsia" w:cs="Arial"/>
          <w:b/>
          <w:bCs/>
          <w:iCs/>
          <w:sz w:val="24"/>
          <w:szCs w:val="24"/>
          <w:lang w:val="en"/>
        </w:rPr>
      </w:pPr>
      <w:r>
        <w:rPr>
          <w:rFonts w:cs="Arial"/>
          <w:i/>
          <w:sz w:val="24"/>
          <w:szCs w:val="24"/>
          <w:lang w:val="en"/>
        </w:rPr>
        <w:br w:type="page"/>
      </w:r>
    </w:p>
    <w:p w:rsidR="00DA5444" w:rsidRPr="006C50DE" w:rsidRDefault="008362C4"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Patient Information</w:t>
      </w:r>
    </w:p>
    <w:p w:rsidR="00C537A9" w:rsidRPr="00C537A9" w:rsidRDefault="00C537A9" w:rsidP="00C537A9">
      <w:pPr>
        <w:rPr>
          <w:lang w:val="en"/>
        </w:rPr>
      </w:pPr>
    </w:p>
    <w:p w:rsidR="00C537A9" w:rsidRDefault="0089649E" w:rsidP="00C36DF8">
      <w:pPr>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68480" behindDoc="0" locked="0" layoutInCell="1" allowOverlap="1" wp14:anchorId="2C1646C6" wp14:editId="6DA5EA8D">
            <wp:simplePos x="0" y="0"/>
            <wp:positionH relativeFrom="column">
              <wp:posOffset>2684780</wp:posOffset>
            </wp:positionH>
            <wp:positionV relativeFrom="paragraph">
              <wp:posOffset>33020</wp:posOffset>
            </wp:positionV>
            <wp:extent cx="4160520" cy="2967990"/>
            <wp:effectExtent l="0" t="0" r="0" b="3810"/>
            <wp:wrapSquare wrapText="bothSides"/>
            <wp:docPr id="18" name="Picture 18" descr="http://cs1.e-learningforhealthcare.org.uk/public/VTE_Public_Access/VTE_02_01/png/Preventing_blood_clots_in_pregnancy_A4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1.e-learningforhealthcare.org.uk/public/VTE_Public_Access/VTE_02_01/png/Preventing_blood_clots_in_pregnancy_A4_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520" cy="296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44" w:rsidRPr="00C537A9">
        <w:rPr>
          <w:rFonts w:eastAsia="Times New Roman" w:cs="Arial"/>
          <w:sz w:val="24"/>
          <w:szCs w:val="24"/>
          <w:lang w:val="en" w:eastAsia="en-GB"/>
        </w:rPr>
        <w:t>A key aspect of the NICE quality standards is the need to offer patients and carers verbal and written information on VTE prevention, both at admission and as part of the discharge process.</w:t>
      </w:r>
    </w:p>
    <w:p w:rsid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Ensure you are familiar with your Trust's VTE information leaflet and any other patient-related communication tools.</w:t>
      </w:r>
    </w:p>
    <w:p w:rsidR="00C537A9" w:rsidRPr="00C537A9" w:rsidRDefault="00C537A9" w:rsidP="00C36DF8">
      <w:pPr>
        <w:rPr>
          <w:rFonts w:eastAsia="Times New Roman" w:cs="Arial"/>
          <w:sz w:val="24"/>
          <w:szCs w:val="24"/>
          <w:lang w:val="en" w:eastAsia="en-GB"/>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National standard patient information leaflets are freely available to educate patients on VTE and its prevention.</w:t>
      </w:r>
    </w:p>
    <w:p w:rsidR="00C537A9" w:rsidRDefault="00C537A9" w:rsidP="00C36DF8">
      <w:pPr>
        <w:rPr>
          <w:rFonts w:eastAsia="Times New Roman" w:cs="Arial"/>
          <w:sz w:val="24"/>
          <w:szCs w:val="24"/>
          <w:lang w:val="en" w:eastAsia="en-GB"/>
        </w:rPr>
      </w:pPr>
    </w:p>
    <w:p w:rsidR="0089649E" w:rsidRDefault="0089649E" w:rsidP="00C36DF8">
      <w:pPr>
        <w:rPr>
          <w:rFonts w:eastAsia="Times New Roman" w:cs="Arial"/>
          <w:sz w:val="24"/>
          <w:szCs w:val="24"/>
          <w:lang w:val="en" w:eastAsia="en-GB"/>
        </w:rPr>
      </w:pPr>
    </w:p>
    <w:p w:rsidR="0089649E" w:rsidRPr="00C537A9" w:rsidRDefault="0089649E" w:rsidP="00C36DF8">
      <w:pPr>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Further translations of these documents can be accessed on the National VTE Prevention Programme website.</w:t>
      </w:r>
    </w:p>
    <w:p w:rsidR="00DA5444" w:rsidRPr="00C537A9" w:rsidRDefault="00DA5444" w:rsidP="00C36DF8">
      <w:pPr>
        <w:rPr>
          <w:rFonts w:eastAsia="Times New Roman" w:cs="Arial"/>
          <w:sz w:val="24"/>
          <w:szCs w:val="24"/>
          <w:lang w:val="en" w:eastAsia="en-GB"/>
        </w:rPr>
      </w:pPr>
    </w:p>
    <w:p w:rsidR="00C537A9" w:rsidRDefault="00C537A9" w:rsidP="00C36DF8">
      <w:pPr>
        <w:pStyle w:val="Heading4"/>
        <w:spacing w:before="0"/>
        <w:rPr>
          <w:rFonts w:asciiTheme="minorHAnsi" w:hAnsiTheme="minorHAnsi" w:cs="Arial"/>
          <w:i w:val="0"/>
          <w:color w:val="auto"/>
          <w:sz w:val="24"/>
          <w:szCs w:val="24"/>
          <w:lang w:val="en"/>
        </w:rPr>
      </w:pPr>
    </w:p>
    <w:p w:rsidR="0089649E" w:rsidRDefault="0089649E">
      <w:pPr>
        <w:rPr>
          <w:rFonts w:eastAsiaTheme="majorEastAsia" w:cs="Arial"/>
          <w:b/>
          <w:bCs/>
          <w:iCs/>
          <w:sz w:val="24"/>
          <w:szCs w:val="24"/>
          <w:lang w:val="en"/>
        </w:rPr>
      </w:pPr>
      <w:r>
        <w:rPr>
          <w:rFonts w:cs="Arial"/>
          <w:i/>
          <w:sz w:val="24"/>
          <w:szCs w:val="24"/>
          <w:lang w:val="en"/>
        </w:rPr>
        <w:br w:type="page"/>
      </w:r>
    </w:p>
    <w:p w:rsidR="00C537A9" w:rsidRPr="006C50DE" w:rsidRDefault="00DA5444"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Thromboprophylaxis</w:t>
      </w:r>
    </w:p>
    <w:p w:rsidR="00C537A9" w:rsidRDefault="00C537A9" w:rsidP="00C36DF8">
      <w:pPr>
        <w:pStyle w:val="Heading4"/>
        <w:spacing w:before="0"/>
        <w:rPr>
          <w:rFonts w:asciiTheme="minorHAnsi" w:hAnsiTheme="minorHAnsi" w:cs="Arial"/>
          <w:color w:val="auto"/>
          <w:sz w:val="24"/>
          <w:szCs w:val="24"/>
          <w:lang w:val="en"/>
        </w:rPr>
      </w:pPr>
    </w:p>
    <w:p w:rsidR="00DA5444" w:rsidRDefault="00DA5444" w:rsidP="00C36DF8">
      <w:pPr>
        <w:pStyle w:val="Heading4"/>
        <w:spacing w:before="0"/>
        <w:rPr>
          <w:rFonts w:asciiTheme="minorHAnsi" w:hAnsiTheme="minorHAnsi" w:cs="Arial"/>
          <w:b w:val="0"/>
          <w:i w:val="0"/>
          <w:color w:val="auto"/>
          <w:sz w:val="24"/>
          <w:szCs w:val="24"/>
          <w:u w:val="single"/>
          <w:lang w:val="en"/>
        </w:rPr>
      </w:pPr>
      <w:r w:rsidRPr="00C537A9">
        <w:rPr>
          <w:rFonts w:asciiTheme="minorHAnsi" w:hAnsiTheme="minorHAnsi" w:cs="Arial"/>
          <w:b w:val="0"/>
          <w:i w:val="0"/>
          <w:color w:val="auto"/>
          <w:sz w:val="24"/>
          <w:szCs w:val="24"/>
          <w:u w:val="single"/>
          <w:lang w:val="en"/>
        </w:rPr>
        <w:t>Introduction</w:t>
      </w:r>
    </w:p>
    <w:p w:rsidR="00C537A9" w:rsidRPr="00C537A9" w:rsidRDefault="00C537A9" w:rsidP="00C537A9">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Thromboprophylaxis is defined as the use of medication or medical devices to prevent the formation of blood clots.</w:t>
      </w:r>
    </w:p>
    <w:p w:rsidR="00C537A9" w:rsidRPr="00C537A9" w:rsidRDefault="00C537A9" w:rsidP="00C36DF8">
      <w:pPr>
        <w:rPr>
          <w:rFonts w:eastAsia="Times New Roman" w:cs="Arial"/>
          <w:sz w:val="24"/>
          <w:szCs w:val="24"/>
          <w:lang w:val="en" w:eastAsia="en-GB"/>
        </w:rPr>
      </w:pPr>
    </w:p>
    <w:p w:rsidR="00DA5444" w:rsidRPr="00C537A9" w:rsidRDefault="00DA5444" w:rsidP="000442A8">
      <w:pPr>
        <w:spacing w:after="120"/>
        <w:rPr>
          <w:rFonts w:eastAsia="Times New Roman" w:cs="Arial"/>
          <w:sz w:val="24"/>
          <w:szCs w:val="24"/>
          <w:lang w:val="en" w:eastAsia="en-GB"/>
        </w:rPr>
      </w:pPr>
      <w:r w:rsidRPr="00C537A9">
        <w:rPr>
          <w:rFonts w:eastAsia="Times New Roman" w:cs="Arial"/>
          <w:sz w:val="24"/>
          <w:szCs w:val="24"/>
          <w:lang w:val="en" w:eastAsia="en-GB"/>
        </w:rPr>
        <w:t>For all patients, three simple steps should be taken to reduce the risk of VTE:</w:t>
      </w:r>
    </w:p>
    <w:p w:rsidR="00DA5444" w:rsidRPr="00C537A9" w:rsidRDefault="00DA5444" w:rsidP="006C50DE">
      <w:pPr>
        <w:numPr>
          <w:ilvl w:val="0"/>
          <w:numId w:val="3"/>
        </w:numPr>
        <w:spacing w:after="120"/>
        <w:rPr>
          <w:rFonts w:eastAsia="Times New Roman" w:cs="Arial"/>
          <w:sz w:val="24"/>
          <w:szCs w:val="24"/>
          <w:lang w:val="en" w:eastAsia="en-GB"/>
        </w:rPr>
      </w:pPr>
      <w:r w:rsidRPr="00C537A9">
        <w:rPr>
          <w:rFonts w:eastAsia="Times New Roman" w:cs="Arial"/>
          <w:sz w:val="24"/>
          <w:szCs w:val="24"/>
          <w:lang w:val="en" w:eastAsia="en-GB"/>
        </w:rPr>
        <w:t>Encourage mobilisation</w:t>
      </w:r>
    </w:p>
    <w:p w:rsidR="00DA5444" w:rsidRPr="00C537A9" w:rsidRDefault="00DA5444" w:rsidP="006C50DE">
      <w:pPr>
        <w:numPr>
          <w:ilvl w:val="0"/>
          <w:numId w:val="3"/>
        </w:numPr>
        <w:spacing w:after="120"/>
        <w:rPr>
          <w:rFonts w:eastAsia="Times New Roman" w:cs="Arial"/>
          <w:sz w:val="24"/>
          <w:szCs w:val="24"/>
          <w:lang w:val="en" w:eastAsia="en-GB"/>
        </w:rPr>
      </w:pPr>
      <w:r w:rsidRPr="00C537A9">
        <w:rPr>
          <w:rFonts w:eastAsia="Times New Roman" w:cs="Arial"/>
          <w:sz w:val="24"/>
          <w:szCs w:val="24"/>
          <w:lang w:val="en" w:eastAsia="en-GB"/>
        </w:rPr>
        <w:t>Avoid dehydration</w:t>
      </w:r>
    </w:p>
    <w:p w:rsidR="00DA5444" w:rsidRPr="00C537A9" w:rsidRDefault="00DA5444" w:rsidP="006C50DE">
      <w:pPr>
        <w:numPr>
          <w:ilvl w:val="0"/>
          <w:numId w:val="3"/>
        </w:numPr>
        <w:rPr>
          <w:rFonts w:eastAsia="Times New Roman" w:cs="Arial"/>
          <w:sz w:val="24"/>
          <w:szCs w:val="24"/>
          <w:lang w:val="en" w:eastAsia="en-GB"/>
        </w:rPr>
      </w:pPr>
      <w:r w:rsidRPr="00C537A9">
        <w:rPr>
          <w:rFonts w:eastAsia="Times New Roman" w:cs="Arial"/>
          <w:sz w:val="24"/>
          <w:szCs w:val="24"/>
          <w:lang w:val="en" w:eastAsia="en-GB"/>
        </w:rPr>
        <w:t>Reassess risk for VTE whenever clinical condition changes</w:t>
      </w:r>
    </w:p>
    <w:p w:rsidR="00C537A9" w:rsidRDefault="00C537A9" w:rsidP="00C36DF8">
      <w:pPr>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For patients found to be at risk for VTE after a risk assessment, thromboprophylaxis should be prescribed.</w:t>
      </w:r>
    </w:p>
    <w:p w:rsidR="00DA5444" w:rsidRPr="00C537A9" w:rsidRDefault="00DA5444" w:rsidP="00C36DF8">
      <w:pPr>
        <w:rPr>
          <w:rFonts w:eastAsia="Times New Roman" w:cs="Arial"/>
          <w:sz w:val="24"/>
          <w:szCs w:val="24"/>
          <w:lang w:val="en" w:eastAsia="en-GB"/>
        </w:rPr>
      </w:pPr>
    </w:p>
    <w:p w:rsidR="00C537A9" w:rsidRDefault="00000310" w:rsidP="00C36DF8">
      <w:pPr>
        <w:pStyle w:val="Heading2"/>
        <w:spacing w:before="0"/>
        <w:rPr>
          <w:rFonts w:asciiTheme="minorHAnsi" w:hAnsiTheme="minorHAnsi" w:cs="Arial"/>
          <w:color w:val="auto"/>
          <w:sz w:val="24"/>
          <w:szCs w:val="24"/>
          <w:lang w:val="en"/>
        </w:rPr>
      </w:pPr>
      <w:r w:rsidRPr="00C537A9">
        <w:rPr>
          <w:rFonts w:eastAsia="Times New Roman" w:cs="Arial"/>
          <w:noProof/>
          <w:sz w:val="24"/>
          <w:szCs w:val="24"/>
          <w:lang w:eastAsia="en-GB"/>
        </w:rPr>
        <w:drawing>
          <wp:anchor distT="0" distB="0" distL="114300" distR="114300" simplePos="0" relativeHeight="251672576" behindDoc="0" locked="0" layoutInCell="1" allowOverlap="1" wp14:anchorId="44F30CEC" wp14:editId="3B43A21C">
            <wp:simplePos x="0" y="0"/>
            <wp:positionH relativeFrom="column">
              <wp:posOffset>43815</wp:posOffset>
            </wp:positionH>
            <wp:positionV relativeFrom="paragraph">
              <wp:posOffset>24130</wp:posOffset>
            </wp:positionV>
            <wp:extent cx="4633595" cy="1330960"/>
            <wp:effectExtent l="0" t="0" r="0" b="2540"/>
            <wp:wrapSquare wrapText="bothSides"/>
            <wp:docPr id="20" name="Picture 20" descr="http://cs1.e-learningforhealthcare.org.uk/public/VTE_Public_Access/VTE_02_01/jpg/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1.e-learningforhealthcare.org.uk/public/VTE_Public_Access/VTE_02_01/jpg/image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59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2A8" w:rsidRDefault="000442A8" w:rsidP="000442A8">
      <w:pPr>
        <w:rPr>
          <w:lang w:val="en"/>
        </w:rPr>
      </w:pPr>
    </w:p>
    <w:p w:rsidR="000442A8" w:rsidRDefault="000442A8" w:rsidP="000442A8">
      <w:pPr>
        <w:rPr>
          <w:lang w:val="en"/>
        </w:rPr>
      </w:pPr>
    </w:p>
    <w:p w:rsidR="00000310" w:rsidRDefault="00000310" w:rsidP="000442A8">
      <w:pPr>
        <w:rPr>
          <w:lang w:val="en"/>
        </w:rPr>
      </w:pPr>
    </w:p>
    <w:p w:rsidR="00000310" w:rsidRDefault="00000310" w:rsidP="000442A8">
      <w:pPr>
        <w:rPr>
          <w:lang w:val="en"/>
        </w:rPr>
      </w:pPr>
    </w:p>
    <w:p w:rsidR="00000310" w:rsidRDefault="00000310" w:rsidP="000442A8">
      <w:pPr>
        <w:rPr>
          <w:lang w:val="en"/>
        </w:rPr>
      </w:pPr>
    </w:p>
    <w:p w:rsidR="00000310" w:rsidRDefault="00000310" w:rsidP="000442A8">
      <w:pPr>
        <w:rPr>
          <w:lang w:val="en"/>
        </w:rPr>
      </w:pPr>
    </w:p>
    <w:p w:rsidR="00000310" w:rsidRDefault="00000310" w:rsidP="000442A8">
      <w:pPr>
        <w:rPr>
          <w:lang w:val="en"/>
        </w:rPr>
      </w:pPr>
    </w:p>
    <w:p w:rsidR="000442A8" w:rsidRPr="000442A8" w:rsidRDefault="000442A8" w:rsidP="000442A8">
      <w:pPr>
        <w:rPr>
          <w:lang w:val="en"/>
        </w:rPr>
      </w:pPr>
    </w:p>
    <w:p w:rsidR="000442A8" w:rsidRPr="000442A8" w:rsidRDefault="000442A8" w:rsidP="000442A8">
      <w:pPr>
        <w:rPr>
          <w:lang w:val="en"/>
        </w:rPr>
      </w:pPr>
    </w:p>
    <w:p w:rsidR="00DA5444" w:rsidRDefault="00DA5444" w:rsidP="00C36DF8">
      <w:pPr>
        <w:pStyle w:val="Heading2"/>
        <w:spacing w:before="0"/>
        <w:rPr>
          <w:rFonts w:asciiTheme="minorHAnsi" w:hAnsiTheme="minorHAnsi" w:cs="Arial"/>
          <w:b w:val="0"/>
          <w:color w:val="auto"/>
          <w:sz w:val="24"/>
          <w:szCs w:val="24"/>
          <w:u w:val="single"/>
          <w:lang w:val="en"/>
        </w:rPr>
      </w:pPr>
      <w:r w:rsidRPr="00C537A9">
        <w:rPr>
          <w:rFonts w:asciiTheme="minorHAnsi" w:hAnsiTheme="minorHAnsi" w:cs="Arial"/>
          <w:b w:val="0"/>
          <w:color w:val="auto"/>
          <w:sz w:val="24"/>
          <w:szCs w:val="24"/>
          <w:u w:val="single"/>
          <w:lang w:val="en"/>
        </w:rPr>
        <w:t>Types of Thromboprophylaxis</w:t>
      </w:r>
    </w:p>
    <w:p w:rsidR="00C537A9" w:rsidRPr="00C537A9" w:rsidRDefault="00C537A9" w:rsidP="00C537A9">
      <w:pPr>
        <w:rPr>
          <w:lang w:val="en"/>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There are two types of thromboprophylaxis: mechanical methods and anticoagulants.</w:t>
      </w:r>
    </w:p>
    <w:p w:rsidR="00C537A9" w:rsidRDefault="00C537A9" w:rsidP="00C36DF8">
      <w:pPr>
        <w:rPr>
          <w:rFonts w:eastAsia="Times New Roman" w:cs="Arial"/>
          <w:sz w:val="24"/>
          <w:szCs w:val="24"/>
          <w:lang w:val="en" w:eastAsia="en-GB"/>
        </w:rPr>
      </w:pPr>
    </w:p>
    <w:p w:rsidR="00DA5444" w:rsidRPr="00C537A9" w:rsidRDefault="00000310" w:rsidP="00C36DF8">
      <w:pPr>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73600" behindDoc="0" locked="0" layoutInCell="1" allowOverlap="1" wp14:anchorId="726C7F90" wp14:editId="4766B08C">
            <wp:simplePos x="0" y="0"/>
            <wp:positionH relativeFrom="column">
              <wp:posOffset>4115435</wp:posOffset>
            </wp:positionH>
            <wp:positionV relativeFrom="paragraph">
              <wp:posOffset>19685</wp:posOffset>
            </wp:positionV>
            <wp:extent cx="2749550" cy="1488440"/>
            <wp:effectExtent l="0" t="0" r="0" b="0"/>
            <wp:wrapSquare wrapText="bothSides"/>
            <wp:docPr id="23" name="Picture 23" descr="http://cs1.e-learningforhealthcare.org.uk/public/VTE_Public_Access/VTE_02_01/jpg/image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1.e-learningforhealthcare.org.uk/public/VTE_Public_Access/VTE_02_01/jpg/image0_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95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44" w:rsidRPr="00C537A9">
        <w:rPr>
          <w:rFonts w:eastAsia="Times New Roman" w:cs="Arial"/>
          <w:sz w:val="24"/>
          <w:szCs w:val="24"/>
          <w:lang w:val="en" w:eastAsia="en-GB"/>
        </w:rPr>
        <w:t xml:space="preserve">The theory behind </w:t>
      </w:r>
      <w:r w:rsidR="00DA5444" w:rsidRPr="00000310">
        <w:rPr>
          <w:rFonts w:eastAsia="Times New Roman" w:cs="Arial"/>
          <w:b/>
          <w:bCs/>
          <w:sz w:val="28"/>
          <w:szCs w:val="24"/>
          <w:lang w:val="en" w:eastAsia="en-GB"/>
        </w:rPr>
        <w:t>mechanical</w:t>
      </w:r>
      <w:r w:rsidR="00DA5444" w:rsidRPr="00000310">
        <w:rPr>
          <w:rFonts w:eastAsia="Times New Roman" w:cs="Arial"/>
          <w:b/>
          <w:sz w:val="28"/>
          <w:szCs w:val="24"/>
          <w:lang w:val="en" w:eastAsia="en-GB"/>
        </w:rPr>
        <w:t xml:space="preserve"> approaches</w:t>
      </w:r>
      <w:r w:rsidR="00DA5444" w:rsidRPr="00000310">
        <w:rPr>
          <w:rFonts w:eastAsia="Times New Roman" w:cs="Arial"/>
          <w:sz w:val="28"/>
          <w:szCs w:val="24"/>
          <w:lang w:val="en" w:eastAsia="en-GB"/>
        </w:rPr>
        <w:t xml:space="preserve"> </w:t>
      </w:r>
      <w:r w:rsidR="00DA5444" w:rsidRPr="00C537A9">
        <w:rPr>
          <w:rFonts w:eastAsia="Times New Roman" w:cs="Arial"/>
          <w:sz w:val="24"/>
          <w:szCs w:val="24"/>
          <w:lang w:val="en" w:eastAsia="en-GB"/>
        </w:rPr>
        <w:t>is that they increase blood flow velocity in leg veins, reducing venous stasis. They are broadly classified as either static (anti-embolism stockings) or dynamic (intermittent pneumatic compression).</w:t>
      </w:r>
    </w:p>
    <w:p w:rsidR="00C537A9" w:rsidRDefault="00C537A9" w:rsidP="00C36DF8">
      <w:pPr>
        <w:rPr>
          <w:rFonts w:eastAsia="Times New Roman" w:cs="Arial"/>
          <w:b/>
          <w:bCs/>
          <w:sz w:val="24"/>
          <w:szCs w:val="24"/>
          <w:lang w:val="en" w:eastAsia="en-GB"/>
        </w:rPr>
      </w:pPr>
    </w:p>
    <w:p w:rsidR="000442A8" w:rsidRDefault="000442A8" w:rsidP="00C36DF8">
      <w:pPr>
        <w:rPr>
          <w:rFonts w:eastAsia="Times New Roman" w:cs="Arial"/>
          <w:b/>
          <w:bCs/>
          <w:sz w:val="24"/>
          <w:szCs w:val="24"/>
          <w:lang w:val="en" w:eastAsia="en-GB"/>
        </w:rPr>
      </w:pPr>
    </w:p>
    <w:p w:rsidR="00000310" w:rsidRDefault="00000310" w:rsidP="00C36DF8">
      <w:pPr>
        <w:rPr>
          <w:rFonts w:eastAsia="Times New Roman" w:cs="Arial"/>
          <w:b/>
          <w:bCs/>
          <w:sz w:val="24"/>
          <w:szCs w:val="24"/>
          <w:lang w:val="en" w:eastAsia="en-GB"/>
        </w:rPr>
      </w:pPr>
    </w:p>
    <w:p w:rsidR="00000310" w:rsidRDefault="00000310" w:rsidP="00C36DF8">
      <w:pPr>
        <w:rPr>
          <w:rFonts w:eastAsia="Times New Roman" w:cs="Arial"/>
          <w:b/>
          <w:bCs/>
          <w:sz w:val="24"/>
          <w:szCs w:val="24"/>
          <w:lang w:val="en" w:eastAsia="en-GB"/>
        </w:rPr>
      </w:pPr>
    </w:p>
    <w:p w:rsidR="00000310" w:rsidRDefault="00000310" w:rsidP="00C36DF8">
      <w:pPr>
        <w:rPr>
          <w:rFonts w:eastAsia="Times New Roman" w:cs="Arial"/>
          <w:b/>
          <w:bCs/>
          <w:sz w:val="24"/>
          <w:szCs w:val="24"/>
          <w:lang w:val="en" w:eastAsia="en-GB"/>
        </w:rPr>
      </w:pPr>
    </w:p>
    <w:p w:rsidR="0089649E" w:rsidRDefault="00000310" w:rsidP="00C36DF8">
      <w:pPr>
        <w:rPr>
          <w:rFonts w:eastAsia="Times New Roman" w:cs="Arial"/>
          <w:sz w:val="24"/>
          <w:szCs w:val="24"/>
          <w:lang w:val="en" w:eastAsia="en-GB"/>
        </w:rPr>
      </w:pPr>
      <w:r w:rsidRPr="00000310">
        <w:rPr>
          <w:rFonts w:eastAsia="Times New Roman" w:cs="Arial"/>
          <w:b/>
          <w:bCs/>
          <w:noProof/>
          <w:sz w:val="28"/>
          <w:szCs w:val="24"/>
          <w:lang w:eastAsia="en-GB"/>
        </w:rPr>
        <w:drawing>
          <wp:anchor distT="0" distB="0" distL="114300" distR="114300" simplePos="0" relativeHeight="251674624" behindDoc="0" locked="0" layoutInCell="1" allowOverlap="1" wp14:anchorId="4CB2E0E8" wp14:editId="056B0B16">
            <wp:simplePos x="0" y="0"/>
            <wp:positionH relativeFrom="column">
              <wp:posOffset>5281930</wp:posOffset>
            </wp:positionH>
            <wp:positionV relativeFrom="paragraph">
              <wp:posOffset>16510</wp:posOffset>
            </wp:positionV>
            <wp:extent cx="1453515" cy="2286000"/>
            <wp:effectExtent l="0" t="0" r="0" b="0"/>
            <wp:wrapSquare wrapText="bothSides"/>
            <wp:docPr id="22" name="Picture 22" descr="http://cs1.e-learningforhealthcare.org.uk/public/VTE_Public_Access/VTE_02_01/jpg/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s1.e-learningforhealthcare.org.uk/public/VTE_Public_Access/VTE_02_01/jpg/imag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351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44" w:rsidRPr="00000310">
        <w:rPr>
          <w:rFonts w:eastAsia="Times New Roman" w:cs="Arial"/>
          <w:b/>
          <w:bCs/>
          <w:sz w:val="28"/>
          <w:szCs w:val="24"/>
          <w:lang w:val="en" w:eastAsia="en-GB"/>
        </w:rPr>
        <w:t>Anticoagulants</w:t>
      </w:r>
      <w:r w:rsidR="00DA5444" w:rsidRPr="00000310">
        <w:rPr>
          <w:rFonts w:eastAsia="Times New Roman" w:cs="Arial"/>
          <w:sz w:val="28"/>
          <w:szCs w:val="24"/>
          <w:lang w:val="en" w:eastAsia="en-GB"/>
        </w:rPr>
        <w:t xml:space="preserve"> </w:t>
      </w:r>
      <w:r w:rsidR="00DA5444" w:rsidRPr="00C537A9">
        <w:rPr>
          <w:rFonts w:eastAsia="Times New Roman" w:cs="Arial"/>
          <w:sz w:val="24"/>
          <w:szCs w:val="24"/>
          <w:lang w:val="en" w:eastAsia="en-GB"/>
        </w:rPr>
        <w:t xml:space="preserve">prevent the formation of a venous thrombus and/or restrict its extension by directly altering the process of blood coagulation. </w:t>
      </w:r>
    </w:p>
    <w:p w:rsidR="0089649E" w:rsidRDefault="0089649E" w:rsidP="00C36DF8">
      <w:pPr>
        <w:rPr>
          <w:rFonts w:eastAsia="Times New Roman" w:cs="Arial"/>
          <w:sz w:val="24"/>
          <w:szCs w:val="24"/>
          <w:lang w:val="en" w:eastAsia="en-GB"/>
        </w:rPr>
      </w:pPr>
    </w:p>
    <w:p w:rsidR="000442A8" w:rsidRPr="00000310" w:rsidRDefault="00DA5444">
      <w:pPr>
        <w:rPr>
          <w:rFonts w:eastAsia="Times New Roman" w:cs="Arial"/>
          <w:sz w:val="24"/>
          <w:szCs w:val="24"/>
          <w:lang w:val="en" w:eastAsia="en-GB"/>
        </w:rPr>
      </w:pPr>
      <w:r w:rsidRPr="00C537A9">
        <w:rPr>
          <w:rFonts w:eastAsia="Times New Roman" w:cs="Arial"/>
          <w:sz w:val="24"/>
          <w:szCs w:val="24"/>
          <w:lang w:val="en" w:eastAsia="en-GB"/>
        </w:rPr>
        <w:t>The most common anticoagulants used are unfractionated heparin (UFH) and low molecular weight heparin (LMWH). For elective total hip/knee replacement, the anticoagulants rivaroxaban, dabigatran or apixaban can be used.</w:t>
      </w:r>
      <w:r w:rsidR="000442A8">
        <w:rPr>
          <w:rFonts w:cs="Arial"/>
          <w:b/>
          <w:sz w:val="24"/>
          <w:szCs w:val="24"/>
          <w:u w:val="single"/>
          <w:lang w:val="en"/>
        </w:rPr>
        <w:br w:type="page"/>
      </w:r>
    </w:p>
    <w:p w:rsidR="00DA5444" w:rsidRDefault="00000310" w:rsidP="00C36DF8">
      <w:pPr>
        <w:pStyle w:val="Heading2"/>
        <w:spacing w:before="0"/>
        <w:rPr>
          <w:rFonts w:asciiTheme="minorHAnsi" w:hAnsiTheme="minorHAnsi" w:cs="Arial"/>
          <w:b w:val="0"/>
          <w:color w:val="auto"/>
          <w:sz w:val="24"/>
          <w:szCs w:val="24"/>
          <w:u w:val="single"/>
          <w:lang w:val="en"/>
        </w:rPr>
      </w:pPr>
      <w:r w:rsidRPr="00C537A9">
        <w:rPr>
          <w:rFonts w:cs="Arial"/>
          <w:noProof/>
          <w:sz w:val="24"/>
          <w:szCs w:val="24"/>
          <w:lang w:eastAsia="en-GB"/>
        </w:rPr>
        <w:lastRenderedPageBreak/>
        <w:drawing>
          <wp:anchor distT="0" distB="0" distL="114300" distR="114300" simplePos="0" relativeHeight="251675648" behindDoc="0" locked="0" layoutInCell="1" allowOverlap="1" wp14:anchorId="687C727F" wp14:editId="094161A2">
            <wp:simplePos x="0" y="0"/>
            <wp:positionH relativeFrom="column">
              <wp:posOffset>4269740</wp:posOffset>
            </wp:positionH>
            <wp:positionV relativeFrom="paragraph">
              <wp:posOffset>-3175</wp:posOffset>
            </wp:positionV>
            <wp:extent cx="2533650" cy="16370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8">
                      <a:extLst>
                        <a:ext uri="{28A0092B-C50C-407E-A947-70E740481C1C}">
                          <a14:useLocalDpi xmlns:a14="http://schemas.microsoft.com/office/drawing/2010/main" val="0"/>
                        </a:ext>
                      </a:extLst>
                    </a:blip>
                    <a:stretch>
                      <a:fillRect/>
                    </a:stretch>
                  </pic:blipFill>
                  <pic:spPr>
                    <a:xfrm>
                      <a:off x="0" y="0"/>
                      <a:ext cx="2533650" cy="1637030"/>
                    </a:xfrm>
                    <a:prstGeom prst="rect">
                      <a:avLst/>
                    </a:prstGeom>
                  </pic:spPr>
                </pic:pic>
              </a:graphicData>
            </a:graphic>
            <wp14:sizeRelH relativeFrom="page">
              <wp14:pctWidth>0</wp14:pctWidth>
            </wp14:sizeRelH>
            <wp14:sizeRelV relativeFrom="page">
              <wp14:pctHeight>0</wp14:pctHeight>
            </wp14:sizeRelV>
          </wp:anchor>
        </w:drawing>
      </w:r>
      <w:r w:rsidR="00DA5444" w:rsidRPr="00C537A9">
        <w:rPr>
          <w:rFonts w:asciiTheme="minorHAnsi" w:hAnsiTheme="minorHAnsi" w:cs="Arial"/>
          <w:b w:val="0"/>
          <w:color w:val="auto"/>
          <w:sz w:val="24"/>
          <w:szCs w:val="24"/>
          <w:u w:val="single"/>
          <w:lang w:val="en"/>
        </w:rPr>
        <w:t>Mechanical Prophylaxis</w:t>
      </w:r>
    </w:p>
    <w:p w:rsidR="0089649E" w:rsidRPr="0089649E" w:rsidRDefault="0089649E" w:rsidP="0089649E">
      <w:pPr>
        <w:rPr>
          <w:lang w:val="en"/>
        </w:rPr>
      </w:pPr>
    </w:p>
    <w:p w:rsidR="00DA5444" w:rsidRPr="00C537A9" w:rsidRDefault="00DA5444" w:rsidP="00C36DF8">
      <w:pPr>
        <w:rPr>
          <w:rFonts w:cs="Arial"/>
          <w:sz w:val="24"/>
          <w:szCs w:val="24"/>
          <w:lang w:val="en"/>
        </w:rPr>
      </w:pPr>
      <w:r w:rsidRPr="00C537A9">
        <w:rPr>
          <w:rFonts w:cs="Arial"/>
          <w:sz w:val="24"/>
          <w:szCs w:val="24"/>
          <w:lang w:val="en"/>
        </w:rPr>
        <w:t>Fig 1 shows a nurse fitting anti-embolism stockings, which are an example of static mechanical prophylaxis.</w:t>
      </w:r>
    </w:p>
    <w:p w:rsidR="00DA5444" w:rsidRPr="00C537A9" w:rsidRDefault="00DA5444" w:rsidP="00C36DF8">
      <w:pPr>
        <w:rPr>
          <w:rFonts w:cs="Arial"/>
          <w:sz w:val="24"/>
          <w:szCs w:val="24"/>
          <w:lang w:val="en"/>
        </w:rPr>
      </w:pPr>
    </w:p>
    <w:p w:rsidR="0089649E" w:rsidRDefault="0089649E" w:rsidP="00C36DF8">
      <w:pPr>
        <w:rPr>
          <w:rFonts w:cs="Arial"/>
          <w:sz w:val="24"/>
          <w:szCs w:val="24"/>
          <w:lang w:val="en"/>
        </w:rPr>
      </w:pPr>
    </w:p>
    <w:p w:rsidR="0089649E" w:rsidRDefault="0089649E" w:rsidP="00C36DF8">
      <w:pPr>
        <w:rPr>
          <w:rFonts w:cs="Arial"/>
          <w:sz w:val="24"/>
          <w:szCs w:val="24"/>
          <w:lang w:val="en"/>
        </w:rPr>
      </w:pPr>
    </w:p>
    <w:p w:rsidR="0089649E" w:rsidRDefault="0089649E" w:rsidP="00C36DF8">
      <w:pPr>
        <w:rPr>
          <w:rFonts w:cs="Arial"/>
          <w:sz w:val="24"/>
          <w:szCs w:val="24"/>
          <w:lang w:val="en"/>
        </w:rPr>
      </w:pPr>
    </w:p>
    <w:p w:rsidR="0089649E" w:rsidRDefault="0089649E" w:rsidP="00C36DF8">
      <w:pPr>
        <w:rPr>
          <w:rFonts w:cs="Arial"/>
          <w:sz w:val="24"/>
          <w:szCs w:val="24"/>
          <w:lang w:val="en"/>
        </w:rPr>
      </w:pPr>
    </w:p>
    <w:p w:rsidR="00DA5444" w:rsidRPr="00C537A9" w:rsidRDefault="00DA5444" w:rsidP="00C36DF8">
      <w:pPr>
        <w:rPr>
          <w:rFonts w:cs="Arial"/>
          <w:sz w:val="24"/>
          <w:szCs w:val="24"/>
          <w:lang w:val="en"/>
        </w:rPr>
      </w:pPr>
    </w:p>
    <w:p w:rsidR="00DA5444" w:rsidRPr="00C537A9" w:rsidRDefault="00CF2564" w:rsidP="00C36DF8">
      <w:pPr>
        <w:rPr>
          <w:rFonts w:cs="Arial"/>
          <w:sz w:val="24"/>
          <w:szCs w:val="24"/>
          <w:lang w:val="en"/>
        </w:rPr>
      </w:pPr>
      <w:r w:rsidRPr="00C537A9">
        <w:rPr>
          <w:rFonts w:cs="Arial"/>
          <w:noProof/>
          <w:sz w:val="24"/>
          <w:szCs w:val="24"/>
          <w:lang w:eastAsia="en-GB"/>
        </w:rPr>
        <w:drawing>
          <wp:anchor distT="0" distB="0" distL="114300" distR="114300" simplePos="0" relativeHeight="251667456" behindDoc="0" locked="0" layoutInCell="1" allowOverlap="1" wp14:anchorId="62E47D10" wp14:editId="729EBF6D">
            <wp:simplePos x="0" y="0"/>
            <wp:positionH relativeFrom="column">
              <wp:posOffset>4255135</wp:posOffset>
            </wp:positionH>
            <wp:positionV relativeFrom="paragraph">
              <wp:posOffset>28575</wp:posOffset>
            </wp:positionV>
            <wp:extent cx="2550160" cy="1647825"/>
            <wp:effectExtent l="0" t="0" r="254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29">
                      <a:extLst>
                        <a:ext uri="{28A0092B-C50C-407E-A947-70E740481C1C}">
                          <a14:useLocalDpi xmlns:a14="http://schemas.microsoft.com/office/drawing/2010/main" val="0"/>
                        </a:ext>
                      </a:extLst>
                    </a:blip>
                    <a:stretch>
                      <a:fillRect/>
                    </a:stretch>
                  </pic:blipFill>
                  <pic:spPr>
                    <a:xfrm>
                      <a:off x="0" y="0"/>
                      <a:ext cx="2550160" cy="1647825"/>
                    </a:xfrm>
                    <a:prstGeom prst="rect">
                      <a:avLst/>
                    </a:prstGeom>
                  </pic:spPr>
                </pic:pic>
              </a:graphicData>
            </a:graphic>
            <wp14:sizeRelH relativeFrom="page">
              <wp14:pctWidth>0</wp14:pctWidth>
            </wp14:sizeRelH>
            <wp14:sizeRelV relativeFrom="page">
              <wp14:pctHeight>0</wp14:pctHeight>
            </wp14:sizeRelV>
          </wp:anchor>
        </w:drawing>
      </w:r>
      <w:r w:rsidR="00DA5444" w:rsidRPr="00C537A9">
        <w:rPr>
          <w:rFonts w:cs="Arial"/>
          <w:sz w:val="24"/>
          <w:szCs w:val="24"/>
          <w:lang w:val="en"/>
        </w:rPr>
        <w:t>Fig 2 shows a nurse starting an intermittent pneumatic compression device, which is an example of dynamic mechanical prophylaxis.</w:t>
      </w:r>
    </w:p>
    <w:p w:rsidR="00DA5444" w:rsidRPr="00C537A9" w:rsidRDefault="00DA5444" w:rsidP="00C36DF8">
      <w:pPr>
        <w:rPr>
          <w:rFonts w:cs="Arial"/>
          <w:sz w:val="24"/>
          <w:szCs w:val="24"/>
          <w:lang w:val="en"/>
        </w:rPr>
      </w:pPr>
    </w:p>
    <w:p w:rsidR="00DA5444" w:rsidRDefault="00DA5444" w:rsidP="00C36DF8">
      <w:pPr>
        <w:rPr>
          <w:rFonts w:cs="Arial"/>
          <w:sz w:val="24"/>
          <w:szCs w:val="24"/>
          <w:lang w:val="en"/>
        </w:rPr>
      </w:pPr>
    </w:p>
    <w:p w:rsidR="00CF2564" w:rsidRDefault="00CF2564" w:rsidP="00C36DF8">
      <w:pPr>
        <w:rPr>
          <w:rFonts w:cs="Arial"/>
          <w:sz w:val="24"/>
          <w:szCs w:val="24"/>
          <w:lang w:val="en"/>
        </w:rPr>
      </w:pPr>
    </w:p>
    <w:p w:rsidR="00CF2564" w:rsidRDefault="00CF2564" w:rsidP="00C36DF8">
      <w:pPr>
        <w:rPr>
          <w:rFonts w:cs="Arial"/>
          <w:sz w:val="24"/>
          <w:szCs w:val="24"/>
          <w:lang w:val="en"/>
        </w:rPr>
      </w:pPr>
    </w:p>
    <w:p w:rsidR="00CF2564" w:rsidRDefault="00CF2564" w:rsidP="00C36DF8">
      <w:pPr>
        <w:rPr>
          <w:rFonts w:cs="Arial"/>
          <w:sz w:val="24"/>
          <w:szCs w:val="24"/>
          <w:lang w:val="en"/>
        </w:rPr>
      </w:pPr>
    </w:p>
    <w:p w:rsidR="00CF2564" w:rsidRDefault="00CF2564" w:rsidP="00C36DF8">
      <w:pPr>
        <w:rPr>
          <w:rFonts w:cs="Arial"/>
          <w:sz w:val="24"/>
          <w:szCs w:val="24"/>
          <w:lang w:val="en"/>
        </w:rPr>
      </w:pPr>
    </w:p>
    <w:p w:rsidR="00CF2564" w:rsidRDefault="00CF2564" w:rsidP="00C36DF8">
      <w:pPr>
        <w:rPr>
          <w:rFonts w:cs="Arial"/>
          <w:sz w:val="24"/>
          <w:szCs w:val="24"/>
          <w:lang w:val="en"/>
        </w:rPr>
      </w:pPr>
    </w:p>
    <w:p w:rsidR="00CF2564" w:rsidRPr="00C537A9" w:rsidRDefault="00CF2564" w:rsidP="00C36DF8">
      <w:pPr>
        <w:rPr>
          <w:rFonts w:cs="Arial"/>
          <w:sz w:val="24"/>
          <w:szCs w:val="24"/>
          <w:lang w:val="en"/>
        </w:rPr>
      </w:pPr>
    </w:p>
    <w:p w:rsidR="00DA5444" w:rsidRPr="00C537A9" w:rsidRDefault="00DA5444" w:rsidP="00C36DF8">
      <w:pPr>
        <w:pStyle w:val="Heading2"/>
        <w:spacing w:before="0"/>
        <w:rPr>
          <w:rFonts w:asciiTheme="minorHAnsi" w:hAnsiTheme="minorHAnsi" w:cs="Arial"/>
          <w:color w:val="auto"/>
          <w:sz w:val="24"/>
          <w:szCs w:val="24"/>
          <w:lang w:val="en"/>
        </w:rPr>
      </w:pPr>
      <w:r w:rsidRPr="00C537A9">
        <w:rPr>
          <w:rFonts w:asciiTheme="minorHAnsi" w:hAnsiTheme="minorHAnsi" w:cs="Arial"/>
          <w:b w:val="0"/>
          <w:color w:val="auto"/>
          <w:sz w:val="24"/>
          <w:szCs w:val="24"/>
          <w:u w:val="single"/>
          <w:lang w:val="en"/>
        </w:rPr>
        <w:t>Contraindications to Mechanical Prophylaxis</w:t>
      </w:r>
    </w:p>
    <w:p w:rsidR="00AB6552" w:rsidRDefault="00AB6552" w:rsidP="00C36DF8">
      <w:pPr>
        <w:rPr>
          <w:rFonts w:eastAsia="Times New Roman" w:cs="Arial"/>
          <w:sz w:val="24"/>
          <w:szCs w:val="24"/>
          <w:lang w:val="en" w:eastAsia="en-GB"/>
        </w:rPr>
      </w:pPr>
    </w:p>
    <w:p w:rsidR="00DA5444" w:rsidRPr="00C537A9" w:rsidRDefault="00DA5444" w:rsidP="00000310">
      <w:pPr>
        <w:spacing w:after="120"/>
        <w:rPr>
          <w:rFonts w:eastAsia="Times New Roman" w:cs="Arial"/>
          <w:sz w:val="24"/>
          <w:szCs w:val="24"/>
          <w:lang w:val="en" w:eastAsia="en-GB"/>
        </w:rPr>
      </w:pPr>
      <w:r w:rsidRPr="00C537A9">
        <w:rPr>
          <w:rFonts w:eastAsia="Times New Roman" w:cs="Arial"/>
          <w:sz w:val="24"/>
          <w:szCs w:val="24"/>
          <w:lang w:val="en" w:eastAsia="en-GB"/>
        </w:rPr>
        <w:t>Do not offer mechanical thromboprophylaxis to patients who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120"/>
      </w:tblGrid>
      <w:tr w:rsidR="00000310" w:rsidTr="00000310">
        <w:tc>
          <w:tcPr>
            <w:tcW w:w="5868" w:type="dxa"/>
          </w:tcPr>
          <w:p w:rsidR="00000310" w:rsidRPr="00C537A9" w:rsidRDefault="00000310" w:rsidP="006C50DE">
            <w:pPr>
              <w:numPr>
                <w:ilvl w:val="0"/>
                <w:numId w:val="40"/>
              </w:numPr>
              <w:spacing w:after="120"/>
              <w:rPr>
                <w:rFonts w:eastAsia="Times New Roman" w:cs="Arial"/>
                <w:sz w:val="24"/>
                <w:szCs w:val="24"/>
                <w:lang w:val="en" w:eastAsia="en-GB"/>
              </w:rPr>
            </w:pPr>
            <w:r w:rsidRPr="00000310">
              <w:rPr>
                <w:rFonts w:cs="Arial"/>
                <w:sz w:val="24"/>
                <w:szCs w:val="24"/>
              </w:rPr>
              <w:t xml:space="preserve"> </w:t>
            </w:r>
            <w:r w:rsidRPr="00C537A9">
              <w:rPr>
                <w:rFonts w:eastAsia="Times New Roman" w:cs="Arial"/>
                <w:sz w:val="24"/>
                <w:szCs w:val="24"/>
                <w:lang w:val="en" w:eastAsia="en-GB"/>
              </w:rPr>
              <w:t>Suspected or proven peripheral arterial disease</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Peripheral arterial bypass grafting Peripheral neuropathy or other causes of sensory impairment</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Any local conditions in which stockings may cause damage, for example fragile 'tissue paper' skin, dermatitis, gangrene or recent skin graft</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Known allergy to material of manufacture</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 xml:space="preserve">Cardiac failure </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Severe leg oedema or pulmonary oedema from congestive heart failure</w:t>
            </w:r>
          </w:p>
          <w:p w:rsidR="00000310" w:rsidRPr="00C537A9" w:rsidRDefault="00000310" w:rsidP="006C50DE">
            <w:pPr>
              <w:numPr>
                <w:ilvl w:val="0"/>
                <w:numId w:val="40"/>
              </w:numPr>
              <w:spacing w:after="120"/>
              <w:rPr>
                <w:rFonts w:eastAsia="Times New Roman" w:cs="Arial"/>
                <w:sz w:val="24"/>
                <w:szCs w:val="24"/>
                <w:lang w:val="en" w:eastAsia="en-GB"/>
              </w:rPr>
            </w:pPr>
            <w:r w:rsidRPr="00C537A9">
              <w:rPr>
                <w:rFonts w:eastAsia="Times New Roman" w:cs="Arial"/>
                <w:sz w:val="24"/>
                <w:szCs w:val="24"/>
                <w:lang w:val="en" w:eastAsia="en-GB"/>
              </w:rPr>
              <w:t>Unusual leg size or shape</w:t>
            </w:r>
          </w:p>
          <w:p w:rsidR="00000310" w:rsidRPr="00000310" w:rsidRDefault="00000310" w:rsidP="006C50DE">
            <w:pPr>
              <w:numPr>
                <w:ilvl w:val="0"/>
                <w:numId w:val="40"/>
              </w:numPr>
              <w:spacing w:after="120"/>
              <w:ind w:left="714" w:hanging="357"/>
              <w:rPr>
                <w:rFonts w:eastAsia="Times New Roman" w:cs="Arial"/>
                <w:sz w:val="24"/>
                <w:szCs w:val="24"/>
                <w:lang w:val="en" w:eastAsia="en-GB"/>
              </w:rPr>
            </w:pPr>
            <w:r w:rsidRPr="00C537A9">
              <w:rPr>
                <w:rFonts w:eastAsia="Times New Roman" w:cs="Arial"/>
                <w:sz w:val="24"/>
                <w:szCs w:val="24"/>
                <w:lang w:val="en" w:eastAsia="en-GB"/>
              </w:rPr>
              <w:t>Major limb deformity preventing correct fit</w:t>
            </w:r>
          </w:p>
        </w:tc>
        <w:tc>
          <w:tcPr>
            <w:tcW w:w="5120" w:type="dxa"/>
          </w:tcPr>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p>
          <w:p w:rsidR="001564E9" w:rsidRDefault="001564E9" w:rsidP="00000310">
            <w:pPr>
              <w:jc w:val="right"/>
              <w:rPr>
                <w:rFonts w:cs="Arial"/>
                <w:sz w:val="24"/>
                <w:szCs w:val="24"/>
              </w:rPr>
            </w:pPr>
            <w:r>
              <w:rPr>
                <w:rFonts w:eastAsia="Times New Roman" w:cs="Arial"/>
                <w:noProof/>
                <w:sz w:val="24"/>
                <w:szCs w:val="24"/>
                <w:lang w:eastAsia="en-GB"/>
              </w:rPr>
              <w:drawing>
                <wp:anchor distT="0" distB="0" distL="114300" distR="114300" simplePos="0" relativeHeight="251686912" behindDoc="0" locked="0" layoutInCell="1" allowOverlap="1" wp14:anchorId="3B1025AF" wp14:editId="75828C5A">
                  <wp:simplePos x="0" y="0"/>
                  <wp:positionH relativeFrom="column">
                    <wp:posOffset>560070</wp:posOffset>
                  </wp:positionH>
                  <wp:positionV relativeFrom="paragraph">
                    <wp:posOffset>-1866265</wp:posOffset>
                  </wp:positionV>
                  <wp:extent cx="2529840" cy="1807210"/>
                  <wp:effectExtent l="0" t="0" r="381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pic:nvPicPr>
                        <pic:blipFill>
                          <a:blip r:embed="rId30">
                            <a:extLst>
                              <a:ext uri="{28A0092B-C50C-407E-A947-70E740481C1C}">
                                <a14:useLocalDpi xmlns:a14="http://schemas.microsoft.com/office/drawing/2010/main" val="0"/>
                              </a:ext>
                            </a:extLst>
                          </a:blip>
                          <a:stretch>
                            <a:fillRect/>
                          </a:stretch>
                        </pic:blipFill>
                        <pic:spPr>
                          <a:xfrm>
                            <a:off x="0" y="0"/>
                            <a:ext cx="2529840" cy="1807210"/>
                          </a:xfrm>
                          <a:prstGeom prst="rect">
                            <a:avLst/>
                          </a:prstGeom>
                        </pic:spPr>
                      </pic:pic>
                    </a:graphicData>
                  </a:graphic>
                  <wp14:sizeRelH relativeFrom="page">
                    <wp14:pctWidth>0</wp14:pctWidth>
                  </wp14:sizeRelH>
                  <wp14:sizeRelV relativeFrom="page">
                    <wp14:pctHeight>0</wp14:pctHeight>
                  </wp14:sizeRelV>
                </wp:anchor>
              </w:drawing>
            </w:r>
          </w:p>
          <w:p w:rsidR="00000310" w:rsidRDefault="00000310" w:rsidP="00000310">
            <w:pPr>
              <w:jc w:val="right"/>
              <w:rPr>
                <w:rFonts w:cs="Arial"/>
                <w:sz w:val="24"/>
                <w:szCs w:val="24"/>
              </w:rPr>
            </w:pPr>
            <w:r w:rsidRPr="00C537A9">
              <w:rPr>
                <w:rFonts w:cs="Arial"/>
                <w:sz w:val="24"/>
                <w:szCs w:val="24"/>
              </w:rPr>
              <w:t>This patient is suffering from peripheral arterial disease and mechanical methods</w:t>
            </w:r>
            <w:r>
              <w:rPr>
                <w:rFonts w:cs="Arial"/>
                <w:sz w:val="24"/>
                <w:szCs w:val="24"/>
              </w:rPr>
              <w:t xml:space="preserve"> </w:t>
            </w:r>
            <w:r w:rsidRPr="00C537A9">
              <w:rPr>
                <w:rFonts w:cs="Arial"/>
                <w:sz w:val="24"/>
                <w:szCs w:val="24"/>
              </w:rPr>
              <w:t>of thromboprophylaxis are contraindicated</w:t>
            </w:r>
          </w:p>
        </w:tc>
      </w:tr>
    </w:tbl>
    <w:p w:rsidR="00000310" w:rsidRDefault="00000310" w:rsidP="001564E9">
      <w:pPr>
        <w:rPr>
          <w:rFonts w:eastAsia="Times New Roman" w:cs="Arial"/>
          <w:sz w:val="24"/>
          <w:szCs w:val="24"/>
          <w:lang w:val="en" w:eastAsia="en-GB"/>
        </w:rPr>
      </w:pPr>
    </w:p>
    <w:p w:rsidR="00DA5444" w:rsidRPr="00C537A9" w:rsidRDefault="00DA5444" w:rsidP="00000310">
      <w:pPr>
        <w:spacing w:after="120"/>
        <w:rPr>
          <w:rFonts w:eastAsia="Times New Roman" w:cs="Arial"/>
          <w:sz w:val="24"/>
          <w:szCs w:val="24"/>
          <w:lang w:val="en" w:eastAsia="en-GB"/>
        </w:rPr>
      </w:pPr>
      <w:r w:rsidRPr="00C537A9">
        <w:rPr>
          <w:rFonts w:eastAsia="Times New Roman" w:cs="Arial"/>
          <w:sz w:val="24"/>
          <w:szCs w:val="24"/>
          <w:lang w:val="en" w:eastAsia="en-GB"/>
        </w:rPr>
        <w:t>Do not use:</w:t>
      </w:r>
    </w:p>
    <w:p w:rsidR="00DA5444" w:rsidRPr="00C537A9" w:rsidRDefault="00DA5444" w:rsidP="006C50DE">
      <w:pPr>
        <w:numPr>
          <w:ilvl w:val="0"/>
          <w:numId w:val="41"/>
        </w:numPr>
        <w:spacing w:after="120"/>
        <w:rPr>
          <w:rFonts w:eastAsia="Times New Roman" w:cs="Arial"/>
          <w:sz w:val="24"/>
          <w:szCs w:val="24"/>
          <w:lang w:val="en" w:eastAsia="en-GB"/>
        </w:rPr>
      </w:pPr>
      <w:r w:rsidRPr="00C537A9">
        <w:rPr>
          <w:rFonts w:eastAsia="Times New Roman" w:cs="Arial"/>
          <w:sz w:val="24"/>
          <w:szCs w:val="24"/>
          <w:lang w:val="en" w:eastAsia="en-GB"/>
        </w:rPr>
        <w:t>Antiembolism stockings in stroke patients</w:t>
      </w:r>
    </w:p>
    <w:p w:rsidR="00DA5444" w:rsidRPr="00C537A9" w:rsidRDefault="00DA5444" w:rsidP="001564E9">
      <w:pPr>
        <w:numPr>
          <w:ilvl w:val="0"/>
          <w:numId w:val="41"/>
        </w:numPr>
        <w:spacing w:after="240"/>
        <w:ind w:left="714" w:hanging="357"/>
        <w:rPr>
          <w:rFonts w:eastAsia="Times New Roman" w:cs="Arial"/>
          <w:sz w:val="24"/>
          <w:szCs w:val="24"/>
          <w:lang w:val="en" w:eastAsia="en-GB"/>
        </w:rPr>
      </w:pPr>
      <w:r w:rsidRPr="00C537A9">
        <w:rPr>
          <w:rFonts w:eastAsia="Times New Roman" w:cs="Arial"/>
          <w:sz w:val="24"/>
          <w:szCs w:val="24"/>
          <w:lang w:val="en" w:eastAsia="en-GB"/>
        </w:rPr>
        <w:t>Intermittent pneumatic compression in patients with a recent DVT</w:t>
      </w: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Use caution and clinical judgement when applying anti-embolism stockings over venous ulcers or wounds.</w:t>
      </w:r>
    </w:p>
    <w:p w:rsidR="00DA5444" w:rsidRPr="00C537A9" w:rsidRDefault="00DA5444" w:rsidP="00000310">
      <w:pPr>
        <w:pStyle w:val="Heading2"/>
        <w:spacing w:before="0" w:after="120"/>
        <w:rPr>
          <w:rFonts w:asciiTheme="minorHAnsi" w:hAnsiTheme="minorHAnsi" w:cs="Arial"/>
          <w:color w:val="auto"/>
          <w:sz w:val="24"/>
          <w:szCs w:val="24"/>
          <w:lang w:val="en"/>
        </w:rPr>
      </w:pPr>
      <w:r w:rsidRPr="00C537A9">
        <w:rPr>
          <w:rFonts w:asciiTheme="minorHAnsi" w:hAnsiTheme="minorHAnsi" w:cs="Arial"/>
          <w:b w:val="0"/>
          <w:color w:val="auto"/>
          <w:sz w:val="24"/>
          <w:szCs w:val="24"/>
          <w:u w:val="single"/>
          <w:lang w:val="en"/>
        </w:rPr>
        <w:lastRenderedPageBreak/>
        <w:t>Contraindications / Caution with Anticoagulants</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Active bleeding</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Platelet count &lt;75x109/l</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Untreated inherited bleeding disorder</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Treatment with therapeutic anticoagulation (e.g. warfarin with INR&gt;2)</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Acquired bleeding disorder (e.g. liver disease)</w:t>
      </w:r>
    </w:p>
    <w:p w:rsidR="00DA5444" w:rsidRPr="00C537A9" w:rsidRDefault="00DA5444" w:rsidP="006C50DE">
      <w:pPr>
        <w:numPr>
          <w:ilvl w:val="0"/>
          <w:numId w:val="42"/>
        </w:numPr>
        <w:spacing w:after="120"/>
        <w:rPr>
          <w:rFonts w:eastAsia="Times New Roman" w:cs="Arial"/>
          <w:sz w:val="24"/>
          <w:szCs w:val="24"/>
          <w:lang w:val="en" w:eastAsia="en-GB"/>
        </w:rPr>
      </w:pPr>
      <w:r w:rsidRPr="00C537A9">
        <w:rPr>
          <w:rFonts w:eastAsia="Times New Roman" w:cs="Arial"/>
          <w:sz w:val="24"/>
          <w:szCs w:val="24"/>
          <w:lang w:val="en" w:eastAsia="en-GB"/>
        </w:rPr>
        <w:t>Previous heparin-induced thrombocytopenia/allergy</w:t>
      </w:r>
    </w:p>
    <w:p w:rsidR="0089649E" w:rsidRDefault="0089649E" w:rsidP="00C36DF8">
      <w:pPr>
        <w:rPr>
          <w:rFonts w:cs="Arial"/>
          <w:sz w:val="24"/>
          <w:szCs w:val="24"/>
          <w:lang w:val="en"/>
        </w:rPr>
      </w:pPr>
    </w:p>
    <w:p w:rsidR="00000310" w:rsidRDefault="00000310" w:rsidP="00CF2564">
      <w:pPr>
        <w:rPr>
          <w:rFonts w:cs="Arial"/>
          <w:noProof/>
          <w:sz w:val="24"/>
          <w:szCs w:val="24"/>
          <w:lang w:eastAsia="en-GB"/>
        </w:rPr>
      </w:pPr>
      <w:r w:rsidRPr="00C537A9">
        <w:rPr>
          <w:rFonts w:cs="Arial"/>
          <w:noProof/>
          <w:sz w:val="24"/>
          <w:szCs w:val="24"/>
          <w:lang w:eastAsia="en-GB"/>
        </w:rPr>
        <w:drawing>
          <wp:anchor distT="0" distB="0" distL="114300" distR="114300" simplePos="0" relativeHeight="251666432" behindDoc="0" locked="0" layoutInCell="1" allowOverlap="1" wp14:anchorId="4712B262" wp14:editId="33523CBC">
            <wp:simplePos x="0" y="0"/>
            <wp:positionH relativeFrom="column">
              <wp:posOffset>33020</wp:posOffset>
            </wp:positionH>
            <wp:positionV relativeFrom="paragraph">
              <wp:posOffset>100330</wp:posOffset>
            </wp:positionV>
            <wp:extent cx="3487420" cy="253047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ic:nvPicPr>
                  <pic:blipFill rotWithShape="1">
                    <a:blip r:embed="rId31">
                      <a:extLst>
                        <a:ext uri="{28A0092B-C50C-407E-A947-70E740481C1C}">
                          <a14:useLocalDpi xmlns:a14="http://schemas.microsoft.com/office/drawing/2010/main" val="0"/>
                        </a:ext>
                      </a:extLst>
                    </a:blip>
                    <a:srcRect l="440" r="27040"/>
                    <a:stretch/>
                  </pic:blipFill>
                  <pic:spPr bwMode="auto">
                    <a:xfrm>
                      <a:off x="0" y="0"/>
                      <a:ext cx="348742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310" w:rsidRDefault="00000310" w:rsidP="00CF2564">
      <w:pPr>
        <w:rPr>
          <w:rFonts w:cs="Arial"/>
          <w:noProof/>
          <w:sz w:val="24"/>
          <w:szCs w:val="24"/>
          <w:lang w:eastAsia="en-GB"/>
        </w:rPr>
      </w:pPr>
    </w:p>
    <w:p w:rsidR="00000310" w:rsidRDefault="00000310" w:rsidP="00CF2564">
      <w:pPr>
        <w:rPr>
          <w:rFonts w:cs="Arial"/>
          <w:noProof/>
          <w:sz w:val="24"/>
          <w:szCs w:val="24"/>
          <w:lang w:eastAsia="en-GB"/>
        </w:rPr>
      </w:pPr>
    </w:p>
    <w:p w:rsidR="00000310" w:rsidRDefault="00000310" w:rsidP="00CF2564">
      <w:pPr>
        <w:rPr>
          <w:rFonts w:cs="Arial"/>
          <w:noProof/>
          <w:sz w:val="24"/>
          <w:szCs w:val="24"/>
          <w:lang w:eastAsia="en-GB"/>
        </w:rPr>
      </w:pPr>
    </w:p>
    <w:p w:rsidR="00000310" w:rsidRDefault="00000310" w:rsidP="00CF2564">
      <w:pPr>
        <w:rPr>
          <w:rFonts w:cs="Arial"/>
          <w:noProof/>
          <w:sz w:val="24"/>
          <w:szCs w:val="24"/>
          <w:lang w:eastAsia="en-GB"/>
        </w:rPr>
      </w:pPr>
    </w:p>
    <w:p w:rsidR="00DA5444" w:rsidRPr="00CF2564" w:rsidRDefault="00DA5444" w:rsidP="00CF2564">
      <w:pPr>
        <w:rPr>
          <w:rFonts w:cs="Arial"/>
          <w:sz w:val="24"/>
          <w:szCs w:val="24"/>
        </w:rPr>
      </w:pPr>
      <w:r w:rsidRPr="00CF2564">
        <w:rPr>
          <w:rFonts w:cs="Arial"/>
          <w:sz w:val="24"/>
          <w:szCs w:val="24"/>
        </w:rPr>
        <w:t>This patient is suffering from an ulcer and anticoagulants are</w:t>
      </w:r>
      <w:r w:rsidR="0089649E" w:rsidRPr="00CF2564">
        <w:rPr>
          <w:rFonts w:cs="Arial"/>
          <w:sz w:val="24"/>
          <w:szCs w:val="24"/>
        </w:rPr>
        <w:t xml:space="preserve"> </w:t>
      </w:r>
      <w:r w:rsidRPr="00CF2564">
        <w:rPr>
          <w:rFonts w:cs="Arial"/>
          <w:sz w:val="24"/>
          <w:szCs w:val="24"/>
        </w:rPr>
        <w:t>contraindicated</w:t>
      </w:r>
    </w:p>
    <w:p w:rsidR="00DA5444" w:rsidRPr="00C537A9" w:rsidRDefault="00DA5444" w:rsidP="00C36DF8">
      <w:pPr>
        <w:rPr>
          <w:rFonts w:cs="Arial"/>
          <w:sz w:val="24"/>
          <w:szCs w:val="24"/>
        </w:rPr>
      </w:pPr>
    </w:p>
    <w:p w:rsidR="00DA5444" w:rsidRPr="00C537A9" w:rsidRDefault="00DA5444" w:rsidP="00C36DF8">
      <w:pPr>
        <w:rPr>
          <w:rFonts w:cs="Arial"/>
          <w:sz w:val="24"/>
          <w:szCs w:val="24"/>
        </w:rPr>
      </w:pPr>
      <w:r w:rsidRPr="00C537A9">
        <w:rPr>
          <w:rFonts w:cs="Arial"/>
          <w:sz w:val="24"/>
          <w:szCs w:val="24"/>
        </w:rPr>
        <w:br w:type="page"/>
      </w:r>
    </w:p>
    <w:p w:rsidR="00DA5444" w:rsidRPr="00C537A9" w:rsidRDefault="00DA5444" w:rsidP="00C36DF8">
      <w:pPr>
        <w:pStyle w:val="Heading2"/>
        <w:spacing w:before="0"/>
        <w:rPr>
          <w:rFonts w:asciiTheme="minorHAnsi" w:hAnsiTheme="minorHAnsi" w:cs="Arial"/>
          <w:color w:val="auto"/>
          <w:sz w:val="24"/>
          <w:szCs w:val="24"/>
          <w:lang w:val="en"/>
        </w:rPr>
      </w:pPr>
      <w:r w:rsidRPr="00C537A9">
        <w:rPr>
          <w:rFonts w:asciiTheme="minorHAnsi" w:hAnsiTheme="minorHAnsi" w:cs="Arial"/>
          <w:b w:val="0"/>
          <w:color w:val="auto"/>
          <w:sz w:val="24"/>
          <w:szCs w:val="24"/>
          <w:u w:val="single"/>
          <w:lang w:val="en"/>
        </w:rPr>
        <w:lastRenderedPageBreak/>
        <w:t>Prophylaxis after Epidural Anaesthesia</w:t>
      </w:r>
    </w:p>
    <w:p w:rsidR="00DA5444" w:rsidRPr="00C537A9" w:rsidRDefault="00DA5444" w:rsidP="00C36DF8">
      <w:pPr>
        <w:rPr>
          <w:rFonts w:cs="Arial"/>
          <w:sz w:val="24"/>
          <w:szCs w:val="24"/>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Anticoagulants must be carefully timed to reduce the risk of bleeding at the catheter site in patients undergoing epidural.</w:t>
      </w:r>
    </w:p>
    <w:p w:rsidR="0089649E" w:rsidRPr="00C537A9" w:rsidRDefault="0089649E" w:rsidP="00C36DF8">
      <w:pPr>
        <w:rPr>
          <w:rFonts w:eastAsia="Times New Roman" w:cs="Arial"/>
          <w:sz w:val="24"/>
          <w:szCs w:val="24"/>
          <w:lang w:val="en" w:eastAsia="en-GB"/>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888"/>
        <w:gridCol w:w="3119"/>
        <w:gridCol w:w="3393"/>
      </w:tblGrid>
      <w:tr w:rsidR="00C537A9" w:rsidRPr="00C537A9" w:rsidTr="0089649E">
        <w:trPr>
          <w:tblCellSpacing w:w="15" w:type="dxa"/>
        </w:trPr>
        <w:tc>
          <w:tcPr>
            <w:tcW w:w="1843" w:type="dxa"/>
            <w:vAlign w:val="center"/>
            <w:hideMark/>
          </w:tcPr>
          <w:p w:rsidR="00DA5444" w:rsidRPr="00C537A9" w:rsidRDefault="00DA5444" w:rsidP="00C36DF8">
            <w:pPr>
              <w:jc w:val="center"/>
              <w:rPr>
                <w:rFonts w:eastAsia="Times New Roman" w:cs="Arial"/>
                <w:b/>
                <w:bCs/>
                <w:sz w:val="24"/>
                <w:szCs w:val="24"/>
                <w:lang w:eastAsia="en-GB"/>
              </w:rPr>
            </w:pPr>
            <w:r w:rsidRPr="00C537A9">
              <w:rPr>
                <w:rFonts w:eastAsia="Times New Roman" w:cs="Arial"/>
                <w:b/>
                <w:bCs/>
                <w:sz w:val="24"/>
                <w:szCs w:val="24"/>
                <w:lang w:eastAsia="en-GB"/>
              </w:rPr>
              <w:t>Anticoagulant</w:t>
            </w:r>
          </w:p>
        </w:tc>
        <w:tc>
          <w:tcPr>
            <w:tcW w:w="3089" w:type="dxa"/>
            <w:vAlign w:val="center"/>
            <w:hideMark/>
          </w:tcPr>
          <w:p w:rsidR="00DA5444" w:rsidRPr="00C537A9" w:rsidRDefault="00DA5444" w:rsidP="00C36DF8">
            <w:pPr>
              <w:jc w:val="center"/>
              <w:rPr>
                <w:rFonts w:eastAsia="Times New Roman" w:cs="Arial"/>
                <w:b/>
                <w:bCs/>
                <w:sz w:val="24"/>
                <w:szCs w:val="24"/>
                <w:lang w:eastAsia="en-GB"/>
              </w:rPr>
            </w:pPr>
            <w:r w:rsidRPr="00C537A9">
              <w:rPr>
                <w:rFonts w:eastAsia="Times New Roman" w:cs="Arial"/>
                <w:b/>
                <w:bCs/>
                <w:sz w:val="24"/>
                <w:szCs w:val="24"/>
                <w:lang w:eastAsia="en-GB"/>
              </w:rPr>
              <w:t>Hours post dose before catheter removal / insertion</w:t>
            </w:r>
          </w:p>
        </w:tc>
        <w:tc>
          <w:tcPr>
            <w:tcW w:w="3348" w:type="dxa"/>
            <w:vAlign w:val="center"/>
            <w:hideMark/>
          </w:tcPr>
          <w:p w:rsidR="00DA5444" w:rsidRPr="00C537A9" w:rsidRDefault="00DA5444" w:rsidP="00C36DF8">
            <w:pPr>
              <w:jc w:val="center"/>
              <w:rPr>
                <w:rFonts w:eastAsia="Times New Roman" w:cs="Arial"/>
                <w:b/>
                <w:bCs/>
                <w:sz w:val="24"/>
                <w:szCs w:val="24"/>
                <w:lang w:eastAsia="en-GB"/>
              </w:rPr>
            </w:pPr>
            <w:r w:rsidRPr="00C537A9">
              <w:rPr>
                <w:rFonts w:eastAsia="Times New Roman" w:cs="Arial"/>
                <w:b/>
                <w:bCs/>
                <w:sz w:val="24"/>
                <w:szCs w:val="24"/>
                <w:lang w:eastAsia="en-GB"/>
              </w:rPr>
              <w:t>Hours after catheter removal / insertion before next dose</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UFH</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4h</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1h</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LMWH</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12h</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4h</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fondaparinux</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36h</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8h post insertion</w:t>
            </w:r>
            <w:r w:rsidRPr="00C537A9">
              <w:rPr>
                <w:rFonts w:eastAsia="Times New Roman" w:cs="Arial"/>
                <w:sz w:val="24"/>
                <w:szCs w:val="24"/>
                <w:lang w:eastAsia="en-GB"/>
              </w:rPr>
              <w:br/>
              <w:t>12h post removal</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rivarozaban</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18h</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6h</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apixaban</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30h*</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Avoid post insertion</w:t>
            </w:r>
            <w:r w:rsidRPr="00C537A9">
              <w:rPr>
                <w:rFonts w:eastAsia="Times New Roman" w:cs="Arial"/>
                <w:sz w:val="24"/>
                <w:szCs w:val="24"/>
                <w:lang w:eastAsia="en-GB"/>
              </w:rPr>
              <w:br/>
              <w:t>5h post removal</w:t>
            </w:r>
          </w:p>
        </w:tc>
      </w:tr>
      <w:tr w:rsidR="00C537A9" w:rsidRPr="00C537A9" w:rsidTr="0089649E">
        <w:trPr>
          <w:tblCellSpacing w:w="15" w:type="dxa"/>
        </w:trPr>
        <w:tc>
          <w:tcPr>
            <w:tcW w:w="1843"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b/>
                <w:bCs/>
                <w:sz w:val="24"/>
                <w:szCs w:val="24"/>
                <w:lang w:eastAsia="en-GB"/>
              </w:rPr>
              <w:t>dabigatran</w:t>
            </w:r>
          </w:p>
        </w:tc>
        <w:tc>
          <w:tcPr>
            <w:tcW w:w="3089"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2-4d**</w:t>
            </w:r>
          </w:p>
        </w:tc>
        <w:tc>
          <w:tcPr>
            <w:tcW w:w="3348" w:type="dxa"/>
            <w:vAlign w:val="center"/>
            <w:hideMark/>
          </w:tcPr>
          <w:p w:rsidR="00DA5444" w:rsidRPr="00C537A9" w:rsidRDefault="00DA5444" w:rsidP="00C36DF8">
            <w:pPr>
              <w:rPr>
                <w:rFonts w:eastAsia="Times New Roman" w:cs="Arial"/>
                <w:sz w:val="24"/>
                <w:szCs w:val="24"/>
                <w:lang w:eastAsia="en-GB"/>
              </w:rPr>
            </w:pPr>
            <w:r w:rsidRPr="00C537A9">
              <w:rPr>
                <w:rFonts w:eastAsia="Times New Roman" w:cs="Arial"/>
                <w:sz w:val="24"/>
                <w:szCs w:val="24"/>
                <w:lang w:eastAsia="en-GB"/>
              </w:rPr>
              <w:t>Avoid post insertion</w:t>
            </w:r>
            <w:r w:rsidRPr="00C537A9">
              <w:rPr>
                <w:rFonts w:eastAsia="Times New Roman" w:cs="Arial"/>
                <w:sz w:val="24"/>
                <w:szCs w:val="24"/>
                <w:lang w:eastAsia="en-GB"/>
              </w:rPr>
              <w:br/>
              <w:t>2h post removal</w:t>
            </w:r>
          </w:p>
        </w:tc>
      </w:tr>
    </w:tbl>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 xml:space="preserve">* Very limited experience; avoid if possible. </w:t>
      </w:r>
      <w:r w:rsidRPr="00C537A9">
        <w:rPr>
          <w:rFonts w:eastAsia="Times New Roman" w:cs="Arial"/>
          <w:sz w:val="24"/>
          <w:szCs w:val="24"/>
          <w:lang w:val="en" w:eastAsia="en-GB"/>
        </w:rPr>
        <w:br/>
        <w:t>** Timing dependent on renal function; seek local advice.</w:t>
      </w:r>
    </w:p>
    <w:p w:rsidR="004636D2" w:rsidRPr="00C537A9" w:rsidRDefault="004636D2" w:rsidP="00C36DF8">
      <w:pPr>
        <w:rPr>
          <w:rFonts w:eastAsia="Times New Roman" w:cs="Arial"/>
          <w:sz w:val="24"/>
          <w:szCs w:val="24"/>
          <w:lang w:val="en" w:eastAsia="en-GB"/>
        </w:rPr>
      </w:pPr>
    </w:p>
    <w:p w:rsidR="00DA5444" w:rsidRPr="00C537A9" w:rsidRDefault="00DA5444" w:rsidP="00C36DF8">
      <w:pPr>
        <w:rPr>
          <w:rFonts w:eastAsia="Times New Roman" w:cs="Arial"/>
          <w:sz w:val="24"/>
          <w:szCs w:val="24"/>
          <w:lang w:val="en" w:eastAsia="en-GB"/>
        </w:rPr>
      </w:pPr>
      <w:r w:rsidRPr="00C537A9">
        <w:rPr>
          <w:rFonts w:eastAsia="Times New Roman" w:cs="Arial"/>
          <w:sz w:val="24"/>
          <w:szCs w:val="24"/>
          <w:lang w:val="en" w:eastAsia="en-GB"/>
        </w:rPr>
        <w:t>Check your local policy regarding the use of anticoagulants and spinal/epidural anaesthesia.</w:t>
      </w:r>
    </w:p>
    <w:p w:rsidR="00AB6552" w:rsidRDefault="00AB6552" w:rsidP="00C36DF8">
      <w:pPr>
        <w:pStyle w:val="Heading2"/>
        <w:spacing w:before="0"/>
        <w:rPr>
          <w:rFonts w:asciiTheme="minorHAnsi" w:hAnsiTheme="minorHAnsi" w:cs="Arial"/>
          <w:color w:val="auto"/>
          <w:sz w:val="24"/>
          <w:szCs w:val="24"/>
          <w:lang w:val="en"/>
        </w:rPr>
      </w:pPr>
    </w:p>
    <w:p w:rsidR="00CF2564" w:rsidRPr="00CF2564" w:rsidRDefault="00CF2564" w:rsidP="00CF2564">
      <w:pPr>
        <w:rPr>
          <w:lang w:val="en"/>
        </w:rPr>
      </w:pPr>
    </w:p>
    <w:p w:rsidR="004636D2" w:rsidRDefault="004636D2">
      <w:pPr>
        <w:rPr>
          <w:rFonts w:eastAsiaTheme="majorEastAsia" w:cs="Arial"/>
          <w:bCs/>
          <w:sz w:val="24"/>
          <w:szCs w:val="24"/>
          <w:u w:val="single"/>
          <w:lang w:val="en"/>
        </w:rPr>
      </w:pPr>
      <w:r>
        <w:rPr>
          <w:rFonts w:cs="Arial"/>
          <w:b/>
          <w:sz w:val="24"/>
          <w:szCs w:val="24"/>
          <w:u w:val="single"/>
          <w:lang w:val="en"/>
        </w:rPr>
        <w:br w:type="page"/>
      </w:r>
    </w:p>
    <w:p w:rsidR="00DA5444" w:rsidRDefault="00DA5444" w:rsidP="00C36DF8">
      <w:pPr>
        <w:pStyle w:val="Heading2"/>
        <w:spacing w:before="0"/>
        <w:rPr>
          <w:rFonts w:asciiTheme="minorHAnsi" w:hAnsiTheme="minorHAnsi" w:cs="Arial"/>
          <w:b w:val="0"/>
          <w:color w:val="auto"/>
          <w:sz w:val="24"/>
          <w:szCs w:val="24"/>
          <w:u w:val="single"/>
          <w:lang w:val="en"/>
        </w:rPr>
      </w:pPr>
      <w:r w:rsidRPr="00C537A9">
        <w:rPr>
          <w:rFonts w:asciiTheme="minorHAnsi" w:hAnsiTheme="minorHAnsi" w:cs="Arial"/>
          <w:b w:val="0"/>
          <w:color w:val="auto"/>
          <w:sz w:val="24"/>
          <w:szCs w:val="24"/>
          <w:u w:val="single"/>
          <w:lang w:val="en"/>
        </w:rPr>
        <w:lastRenderedPageBreak/>
        <w:t>Duration of Prophylaxis</w:t>
      </w:r>
    </w:p>
    <w:p w:rsidR="0089649E" w:rsidRPr="0089649E" w:rsidRDefault="0089649E" w:rsidP="0089649E">
      <w:pPr>
        <w:rPr>
          <w:lang w:val="en"/>
        </w:rPr>
      </w:pPr>
    </w:p>
    <w:p w:rsidR="00DA5444" w:rsidRDefault="00DA5444" w:rsidP="00C36DF8">
      <w:pPr>
        <w:rPr>
          <w:rFonts w:eastAsia="Times New Roman" w:cs="Arial"/>
          <w:sz w:val="24"/>
          <w:szCs w:val="24"/>
          <w:lang w:val="en" w:eastAsia="en-GB"/>
        </w:rPr>
      </w:pPr>
      <w:r w:rsidRPr="00C537A9">
        <w:rPr>
          <w:rFonts w:eastAsia="Times New Roman" w:cs="Arial"/>
          <w:sz w:val="24"/>
          <w:szCs w:val="24"/>
          <w:lang w:val="en" w:eastAsia="en-GB"/>
        </w:rPr>
        <w:t>The duration of prophylaxis is dependent on a patient's condition. The NICE guidelines (Guideline 92) make firm recommendations on how long it should be continued.</w:t>
      </w:r>
    </w:p>
    <w:p w:rsidR="0089649E" w:rsidRDefault="0089649E" w:rsidP="00C36DF8">
      <w:pPr>
        <w:rPr>
          <w:rFonts w:eastAsia="Times New Roman" w:cs="Arial"/>
          <w:sz w:val="24"/>
          <w:szCs w:val="24"/>
          <w:lang w:val="en" w:eastAsia="en-GB"/>
        </w:rPr>
      </w:pPr>
    </w:p>
    <w:tbl>
      <w:tblPr>
        <w:tblStyle w:val="TableGrid"/>
        <w:tblW w:w="0" w:type="auto"/>
        <w:tblInd w:w="534" w:type="dxa"/>
        <w:tblLook w:val="04A0" w:firstRow="1" w:lastRow="0" w:firstColumn="1" w:lastColumn="0" w:noHBand="0" w:noVBand="1"/>
      </w:tblPr>
      <w:tblGrid>
        <w:gridCol w:w="4960"/>
        <w:gridCol w:w="3261"/>
      </w:tblGrid>
      <w:tr w:rsidR="004636D2" w:rsidTr="004636D2">
        <w:tc>
          <w:tcPr>
            <w:tcW w:w="4960" w:type="dxa"/>
          </w:tcPr>
          <w:p w:rsidR="004636D2" w:rsidRDefault="004636D2" w:rsidP="004636D2">
            <w:pPr>
              <w:spacing w:before="120" w:after="120"/>
              <w:ind w:left="360"/>
              <w:rPr>
                <w:rFonts w:eastAsia="Times New Roman" w:cs="Arial"/>
                <w:sz w:val="24"/>
                <w:szCs w:val="24"/>
                <w:lang w:val="en" w:eastAsia="en-GB"/>
              </w:rPr>
            </w:pPr>
            <w:r w:rsidRPr="00C537A9">
              <w:rPr>
                <w:rFonts w:eastAsia="Times New Roman" w:cs="Arial"/>
                <w:sz w:val="24"/>
                <w:szCs w:val="24"/>
                <w:lang w:val="en" w:eastAsia="en-GB"/>
              </w:rPr>
              <w:t>Continue u</w:t>
            </w:r>
            <w:r>
              <w:rPr>
                <w:rFonts w:eastAsia="Times New Roman" w:cs="Arial"/>
                <w:sz w:val="24"/>
                <w:szCs w:val="24"/>
                <w:lang w:val="en" w:eastAsia="en-GB"/>
              </w:rPr>
              <w:t>ntil mobility returns to normal</w:t>
            </w:r>
            <w:r>
              <w:rPr>
                <w:rFonts w:eastAsia="Times New Roman" w:cs="Arial"/>
                <w:sz w:val="24"/>
                <w:szCs w:val="24"/>
                <w:lang w:val="en" w:eastAsia="en-GB"/>
              </w:rPr>
              <w:br/>
              <w:t xml:space="preserve">       </w:t>
            </w:r>
            <w:r w:rsidRPr="00C537A9">
              <w:rPr>
                <w:rFonts w:eastAsia="Times New Roman" w:cs="Arial"/>
                <w:sz w:val="24"/>
                <w:szCs w:val="24"/>
                <w:lang w:val="en" w:eastAsia="en-GB"/>
              </w:rPr>
              <w:t>(see special</w:t>
            </w:r>
            <w:r>
              <w:rPr>
                <w:rFonts w:eastAsia="Times New Roman" w:cs="Arial"/>
                <w:sz w:val="24"/>
                <w:szCs w:val="24"/>
                <w:lang w:val="en" w:eastAsia="en-GB"/>
              </w:rPr>
              <w:t xml:space="preserve">ity specific advice to follow) </w:t>
            </w:r>
          </w:p>
        </w:tc>
        <w:tc>
          <w:tcPr>
            <w:tcW w:w="3261" w:type="dxa"/>
          </w:tcPr>
          <w:p w:rsidR="004636D2" w:rsidRDefault="004636D2" w:rsidP="004636D2">
            <w:pPr>
              <w:spacing w:before="120" w:after="120"/>
              <w:ind w:left="176"/>
              <w:rPr>
                <w:rFonts w:eastAsia="Times New Roman" w:cs="Arial"/>
                <w:sz w:val="24"/>
                <w:szCs w:val="24"/>
                <w:lang w:val="en" w:eastAsia="en-GB"/>
              </w:rPr>
            </w:pPr>
            <w:r w:rsidRPr="00C537A9">
              <w:rPr>
                <w:rFonts w:eastAsia="Times New Roman" w:cs="Arial"/>
                <w:sz w:val="24"/>
                <w:szCs w:val="24"/>
                <w:lang w:val="en" w:eastAsia="en-GB"/>
              </w:rPr>
              <w:t>Usually 5-7 days</w:t>
            </w:r>
          </w:p>
        </w:tc>
      </w:tr>
      <w:tr w:rsidR="004636D2" w:rsidTr="004636D2">
        <w:tc>
          <w:tcPr>
            <w:tcW w:w="4960" w:type="dxa"/>
          </w:tcPr>
          <w:p w:rsidR="004636D2" w:rsidRDefault="004636D2" w:rsidP="004636D2">
            <w:pPr>
              <w:spacing w:before="120" w:after="120"/>
              <w:ind w:left="360"/>
              <w:rPr>
                <w:rFonts w:eastAsia="Times New Roman" w:cs="Arial"/>
                <w:sz w:val="24"/>
                <w:szCs w:val="24"/>
                <w:lang w:val="en" w:eastAsia="en-GB"/>
              </w:rPr>
            </w:pPr>
            <w:r w:rsidRPr="00C537A9">
              <w:rPr>
                <w:rFonts w:eastAsia="Times New Roman" w:cs="Arial"/>
                <w:sz w:val="24"/>
                <w:szCs w:val="24"/>
                <w:lang w:val="en" w:eastAsia="en-GB"/>
              </w:rPr>
              <w:t xml:space="preserve">Major orthopaedic surgery </w:t>
            </w:r>
          </w:p>
          <w:p w:rsidR="004636D2" w:rsidRDefault="004636D2" w:rsidP="004636D2">
            <w:pPr>
              <w:spacing w:before="120" w:after="120"/>
              <w:ind w:left="1080"/>
              <w:rPr>
                <w:rFonts w:eastAsia="Times New Roman" w:cs="Arial"/>
                <w:sz w:val="24"/>
                <w:szCs w:val="24"/>
                <w:lang w:val="en" w:eastAsia="en-GB"/>
              </w:rPr>
            </w:pPr>
            <w:r w:rsidRPr="00C537A9">
              <w:rPr>
                <w:rFonts w:eastAsia="Times New Roman" w:cs="Arial"/>
                <w:sz w:val="24"/>
                <w:szCs w:val="24"/>
                <w:lang w:val="en" w:eastAsia="en-GB"/>
              </w:rPr>
              <w:t>Total hip re</w:t>
            </w:r>
            <w:r>
              <w:rPr>
                <w:rFonts w:eastAsia="Times New Roman" w:cs="Arial"/>
                <w:sz w:val="24"/>
                <w:szCs w:val="24"/>
                <w:lang w:val="en" w:eastAsia="en-GB"/>
              </w:rPr>
              <w:t xml:space="preserve">placement/Hip fracture surgery </w:t>
            </w:r>
          </w:p>
        </w:tc>
        <w:tc>
          <w:tcPr>
            <w:tcW w:w="3261" w:type="dxa"/>
          </w:tcPr>
          <w:p w:rsidR="004636D2" w:rsidRDefault="004636D2" w:rsidP="004636D2">
            <w:pPr>
              <w:spacing w:before="120" w:after="120"/>
              <w:ind w:left="176"/>
              <w:rPr>
                <w:rFonts w:eastAsia="Times New Roman" w:cs="Arial"/>
                <w:sz w:val="24"/>
                <w:szCs w:val="24"/>
                <w:lang w:val="en" w:eastAsia="en-GB"/>
              </w:rPr>
            </w:pPr>
            <w:r w:rsidRPr="00C537A9">
              <w:rPr>
                <w:rFonts w:eastAsia="Times New Roman" w:cs="Arial"/>
                <w:sz w:val="24"/>
                <w:szCs w:val="24"/>
                <w:lang w:val="en" w:eastAsia="en-GB"/>
              </w:rPr>
              <w:t>Continue for 28-35 days</w:t>
            </w:r>
          </w:p>
        </w:tc>
      </w:tr>
      <w:tr w:rsidR="004636D2" w:rsidTr="004636D2">
        <w:tc>
          <w:tcPr>
            <w:tcW w:w="4960" w:type="dxa"/>
          </w:tcPr>
          <w:p w:rsidR="004636D2" w:rsidRDefault="004636D2" w:rsidP="004636D2">
            <w:pPr>
              <w:spacing w:before="120" w:after="120"/>
              <w:ind w:left="360"/>
              <w:rPr>
                <w:rFonts w:eastAsia="Times New Roman" w:cs="Arial"/>
                <w:sz w:val="24"/>
                <w:szCs w:val="24"/>
                <w:lang w:val="en" w:eastAsia="en-GB"/>
              </w:rPr>
            </w:pPr>
            <w:r w:rsidRPr="00C537A9">
              <w:rPr>
                <w:rFonts w:eastAsia="Times New Roman" w:cs="Arial"/>
                <w:sz w:val="24"/>
                <w:szCs w:val="24"/>
                <w:lang w:val="en" w:eastAsia="en-GB"/>
              </w:rPr>
              <w:t xml:space="preserve">Major orthopaedic surgery </w:t>
            </w:r>
          </w:p>
          <w:p w:rsidR="004636D2" w:rsidRDefault="004636D2" w:rsidP="004636D2">
            <w:pPr>
              <w:spacing w:before="120" w:after="120"/>
              <w:ind w:left="1080"/>
              <w:rPr>
                <w:rFonts w:eastAsia="Times New Roman" w:cs="Arial"/>
                <w:sz w:val="24"/>
                <w:szCs w:val="24"/>
                <w:lang w:val="en" w:eastAsia="en-GB"/>
              </w:rPr>
            </w:pPr>
            <w:r>
              <w:rPr>
                <w:rFonts w:eastAsia="Times New Roman" w:cs="Arial"/>
                <w:sz w:val="24"/>
                <w:szCs w:val="24"/>
                <w:lang w:val="en" w:eastAsia="en-GB"/>
              </w:rPr>
              <w:t xml:space="preserve">Total knee replacement </w:t>
            </w:r>
          </w:p>
        </w:tc>
        <w:tc>
          <w:tcPr>
            <w:tcW w:w="3261" w:type="dxa"/>
          </w:tcPr>
          <w:p w:rsidR="004636D2" w:rsidRDefault="004636D2" w:rsidP="004636D2">
            <w:pPr>
              <w:spacing w:before="120" w:after="120"/>
              <w:ind w:left="176"/>
              <w:rPr>
                <w:rFonts w:eastAsia="Times New Roman" w:cs="Arial"/>
                <w:sz w:val="24"/>
                <w:szCs w:val="24"/>
                <w:lang w:val="en" w:eastAsia="en-GB"/>
              </w:rPr>
            </w:pPr>
            <w:r w:rsidRPr="00C537A9">
              <w:rPr>
                <w:rFonts w:eastAsia="Times New Roman" w:cs="Arial"/>
                <w:sz w:val="24"/>
                <w:szCs w:val="24"/>
                <w:lang w:val="en" w:eastAsia="en-GB"/>
              </w:rPr>
              <w:t>Continue for 10-14days</w:t>
            </w:r>
          </w:p>
        </w:tc>
      </w:tr>
      <w:tr w:rsidR="004636D2" w:rsidTr="004636D2">
        <w:tc>
          <w:tcPr>
            <w:tcW w:w="4960" w:type="dxa"/>
          </w:tcPr>
          <w:p w:rsidR="004636D2" w:rsidRDefault="004636D2" w:rsidP="004636D2">
            <w:pPr>
              <w:spacing w:before="120" w:after="120"/>
              <w:ind w:left="360"/>
              <w:rPr>
                <w:rFonts w:eastAsia="Times New Roman" w:cs="Arial"/>
                <w:sz w:val="24"/>
                <w:szCs w:val="24"/>
                <w:lang w:val="en" w:eastAsia="en-GB"/>
              </w:rPr>
            </w:pPr>
            <w:r>
              <w:rPr>
                <w:rFonts w:eastAsia="Times New Roman" w:cs="Arial"/>
                <w:sz w:val="24"/>
                <w:szCs w:val="24"/>
                <w:lang w:val="en" w:eastAsia="en-GB"/>
              </w:rPr>
              <w:t xml:space="preserve">Major surgery for cancer </w:t>
            </w:r>
          </w:p>
        </w:tc>
        <w:tc>
          <w:tcPr>
            <w:tcW w:w="3261" w:type="dxa"/>
          </w:tcPr>
          <w:p w:rsidR="004636D2" w:rsidRDefault="004636D2" w:rsidP="004636D2">
            <w:pPr>
              <w:spacing w:before="120" w:after="120"/>
              <w:ind w:left="176"/>
              <w:rPr>
                <w:rFonts w:eastAsia="Times New Roman" w:cs="Arial"/>
                <w:sz w:val="24"/>
                <w:szCs w:val="24"/>
                <w:lang w:val="en" w:eastAsia="en-GB"/>
              </w:rPr>
            </w:pPr>
            <w:r>
              <w:rPr>
                <w:rFonts w:eastAsia="Times New Roman" w:cs="Arial"/>
                <w:sz w:val="24"/>
                <w:szCs w:val="24"/>
                <w:lang w:val="en" w:eastAsia="en-GB"/>
              </w:rPr>
              <w:t>Continue for 28-35 days</w:t>
            </w:r>
          </w:p>
        </w:tc>
      </w:tr>
    </w:tbl>
    <w:p w:rsidR="0089649E" w:rsidRPr="004636D2" w:rsidRDefault="0089649E" w:rsidP="004636D2">
      <w:pPr>
        <w:pStyle w:val="Heading2"/>
        <w:spacing w:before="0"/>
        <w:rPr>
          <w:rFonts w:asciiTheme="minorHAnsi" w:hAnsiTheme="minorHAnsi" w:cs="Arial"/>
          <w:iCs/>
          <w:color w:val="auto"/>
          <w:sz w:val="24"/>
          <w:szCs w:val="24"/>
          <w:lang w:val="en"/>
        </w:rPr>
      </w:pPr>
    </w:p>
    <w:p w:rsidR="00AB6552" w:rsidRDefault="00AB6552" w:rsidP="00C36DF8">
      <w:pPr>
        <w:pStyle w:val="Heading2"/>
        <w:spacing w:before="0"/>
        <w:rPr>
          <w:rFonts w:asciiTheme="minorHAnsi" w:hAnsiTheme="minorHAnsi" w:cs="Arial"/>
          <w:iCs/>
          <w:color w:val="auto"/>
          <w:sz w:val="24"/>
          <w:szCs w:val="24"/>
          <w:lang w:val="en"/>
        </w:rPr>
      </w:pPr>
    </w:p>
    <w:p w:rsidR="004636D2" w:rsidRDefault="004636D2">
      <w:pPr>
        <w:rPr>
          <w:rFonts w:eastAsiaTheme="majorEastAsia" w:cs="Arial"/>
          <w:b/>
          <w:bCs/>
          <w:iCs/>
          <w:sz w:val="24"/>
          <w:szCs w:val="24"/>
          <w:lang w:val="en"/>
        </w:rPr>
      </w:pPr>
      <w:r>
        <w:rPr>
          <w:rFonts w:cs="Arial"/>
          <w:iCs/>
          <w:sz w:val="24"/>
          <w:szCs w:val="24"/>
          <w:lang w:val="en"/>
        </w:rPr>
        <w:br w:type="page"/>
      </w:r>
    </w:p>
    <w:p w:rsidR="00AB6552" w:rsidRPr="006C50DE" w:rsidRDefault="00DA5444"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Recommendations (Low Bleeding Risk)</w:t>
      </w:r>
    </w:p>
    <w:p w:rsidR="00AB6552" w:rsidRPr="00AB6552" w:rsidRDefault="00AB6552" w:rsidP="00AB6552">
      <w:pPr>
        <w:rPr>
          <w:lang w:val="en"/>
        </w:rPr>
      </w:pPr>
    </w:p>
    <w:p w:rsidR="00DA5444" w:rsidRPr="00C537A9" w:rsidRDefault="00DA5444" w:rsidP="00C36DF8">
      <w:pPr>
        <w:pStyle w:val="Heading2"/>
        <w:spacing w:before="0"/>
        <w:rPr>
          <w:rFonts w:asciiTheme="minorHAnsi" w:hAnsiTheme="minorHAnsi" w:cs="Arial"/>
          <w:color w:val="auto"/>
          <w:sz w:val="24"/>
          <w:szCs w:val="24"/>
          <w:lang w:val="en"/>
        </w:rPr>
      </w:pPr>
      <w:r w:rsidRPr="00C537A9">
        <w:rPr>
          <w:rFonts w:asciiTheme="minorHAnsi" w:hAnsiTheme="minorHAnsi" w:cs="Arial"/>
          <w:b w:val="0"/>
          <w:color w:val="auto"/>
          <w:sz w:val="24"/>
          <w:szCs w:val="24"/>
          <w:u w:val="single"/>
          <w:lang w:val="en"/>
        </w:rPr>
        <w:t>Introduction</w:t>
      </w:r>
    </w:p>
    <w:p w:rsidR="00DA5444" w:rsidRPr="00C537A9" w:rsidRDefault="00DA5444" w:rsidP="00C36DF8">
      <w:pPr>
        <w:rPr>
          <w:rFonts w:cs="Arial"/>
          <w:sz w:val="24"/>
          <w:szCs w:val="24"/>
          <w:lang w:val="en"/>
        </w:rPr>
      </w:pPr>
    </w:p>
    <w:p w:rsidR="00DA22EA" w:rsidRPr="004636D2" w:rsidRDefault="00DA22EA" w:rsidP="00E61567">
      <w:pPr>
        <w:pStyle w:val="Heading2"/>
        <w:spacing w:before="0"/>
        <w:rPr>
          <w:rFonts w:asciiTheme="minorHAnsi" w:hAnsiTheme="minorHAnsi" w:cs="Arial"/>
          <w:b w:val="0"/>
          <w:i/>
          <w:color w:val="auto"/>
          <w:sz w:val="24"/>
          <w:szCs w:val="24"/>
          <w:lang w:val="en"/>
        </w:rPr>
      </w:pPr>
      <w:r w:rsidRPr="004636D2">
        <w:rPr>
          <w:rFonts w:asciiTheme="minorHAnsi" w:hAnsiTheme="minorHAnsi" w:cs="Arial"/>
          <w:b w:val="0"/>
          <w:i/>
          <w:color w:val="auto"/>
          <w:sz w:val="24"/>
          <w:szCs w:val="24"/>
          <w:lang w:val="en"/>
        </w:rPr>
        <w:t>Increased risk of VTE (Low Bleeding Risk)</w:t>
      </w:r>
    </w:p>
    <w:p w:rsidR="00AB6552" w:rsidRPr="00AB6552" w:rsidRDefault="004636D2" w:rsidP="00AB6552">
      <w:pPr>
        <w:rPr>
          <w:lang w:val="en"/>
        </w:rPr>
      </w:pPr>
      <w:r w:rsidRPr="00C537A9">
        <w:rPr>
          <w:rFonts w:cs="Arial"/>
          <w:noProof/>
          <w:sz w:val="24"/>
          <w:szCs w:val="24"/>
          <w:lang w:eastAsia="en-GB"/>
        </w:rPr>
        <w:drawing>
          <wp:anchor distT="0" distB="0" distL="114300" distR="114300" simplePos="0" relativeHeight="251664384" behindDoc="0" locked="0" layoutInCell="1" allowOverlap="1" wp14:anchorId="5270A12B" wp14:editId="45E3D293">
            <wp:simplePos x="0" y="0"/>
            <wp:positionH relativeFrom="column">
              <wp:posOffset>4605020</wp:posOffset>
            </wp:positionH>
            <wp:positionV relativeFrom="paragraph">
              <wp:posOffset>83820</wp:posOffset>
            </wp:positionV>
            <wp:extent cx="1998345" cy="2049780"/>
            <wp:effectExtent l="0" t="0" r="1905"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04_035_08_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8345" cy="2049780"/>
                    </a:xfrm>
                    <a:prstGeom prst="rect">
                      <a:avLst/>
                    </a:prstGeom>
                  </pic:spPr>
                </pic:pic>
              </a:graphicData>
            </a:graphic>
            <wp14:sizeRelH relativeFrom="page">
              <wp14:pctWidth>0</wp14:pctWidth>
            </wp14:sizeRelH>
            <wp14:sizeRelV relativeFrom="page">
              <wp14:pctHeight>0</wp14:pctHeight>
            </wp14:sizeRelV>
          </wp:anchor>
        </w:drawing>
      </w:r>
    </w:p>
    <w:p w:rsidR="00DA22EA" w:rsidRDefault="00DA22EA" w:rsidP="00C36DF8">
      <w:pPr>
        <w:rPr>
          <w:rFonts w:eastAsia="Times New Roman" w:cs="Arial"/>
          <w:sz w:val="24"/>
          <w:szCs w:val="24"/>
          <w:lang w:val="en" w:eastAsia="en-GB"/>
        </w:rPr>
      </w:pPr>
      <w:r w:rsidRPr="00C537A9">
        <w:rPr>
          <w:rFonts w:eastAsia="Times New Roman" w:cs="Arial"/>
          <w:sz w:val="24"/>
          <w:szCs w:val="24"/>
          <w:lang w:val="en" w:eastAsia="en-GB"/>
        </w:rPr>
        <w:t xml:space="preserve">Dependent on the reason for admission, NICE recommends pharmacological prophylaxis and/or mechanical methods. </w:t>
      </w:r>
    </w:p>
    <w:p w:rsidR="00AB6552" w:rsidRPr="00C537A9" w:rsidRDefault="00AB6552" w:rsidP="00C36DF8">
      <w:pPr>
        <w:rPr>
          <w:rFonts w:eastAsia="Times New Roman" w:cs="Arial"/>
          <w:sz w:val="24"/>
          <w:szCs w:val="24"/>
          <w:lang w:val="en" w:eastAsia="en-GB"/>
        </w:rPr>
      </w:pPr>
    </w:p>
    <w:p w:rsidR="00DA22EA" w:rsidRDefault="00DA22EA" w:rsidP="00C36DF8">
      <w:pPr>
        <w:rPr>
          <w:rFonts w:eastAsia="Times New Roman" w:cs="Arial"/>
          <w:sz w:val="24"/>
          <w:szCs w:val="24"/>
          <w:lang w:val="en" w:eastAsia="en-GB"/>
        </w:rPr>
      </w:pPr>
      <w:r w:rsidRPr="00C537A9">
        <w:rPr>
          <w:rFonts w:eastAsia="Times New Roman" w:cs="Arial"/>
          <w:sz w:val="24"/>
          <w:szCs w:val="24"/>
          <w:lang w:val="en" w:eastAsia="en-GB"/>
        </w:rPr>
        <w:t>These recommendations will be covered in the following pages.</w:t>
      </w:r>
    </w:p>
    <w:p w:rsidR="00AB6552" w:rsidRPr="00C537A9" w:rsidRDefault="00AB6552" w:rsidP="00C36DF8">
      <w:pPr>
        <w:rPr>
          <w:rFonts w:eastAsia="Times New Roman" w:cs="Arial"/>
          <w:sz w:val="24"/>
          <w:szCs w:val="24"/>
          <w:lang w:val="en" w:eastAsia="en-GB"/>
        </w:rPr>
      </w:pPr>
    </w:p>
    <w:p w:rsidR="00DA22EA" w:rsidRPr="00C537A9" w:rsidRDefault="00DA22EA" w:rsidP="00C36DF8">
      <w:pPr>
        <w:rPr>
          <w:rFonts w:eastAsia="Times New Roman" w:cs="Arial"/>
          <w:sz w:val="24"/>
          <w:szCs w:val="24"/>
          <w:lang w:val="en" w:eastAsia="en-GB"/>
        </w:rPr>
      </w:pPr>
      <w:r w:rsidRPr="00C537A9">
        <w:rPr>
          <w:rFonts w:eastAsia="Times New Roman" w:cs="Arial"/>
          <w:sz w:val="24"/>
          <w:szCs w:val="24"/>
          <w:lang w:val="en" w:eastAsia="en-GB"/>
        </w:rPr>
        <w:t xml:space="preserve">The Royal College of Obstetricians and Gynaecologists make separate recommendations for obstetric patients. Click </w:t>
      </w:r>
      <w:hyperlink r:id="rId33" w:tgtFrame="_blank" w:history="1">
        <w:r w:rsidRPr="00C537A9">
          <w:rPr>
            <w:rFonts w:eastAsia="Times New Roman" w:cs="Arial"/>
            <w:sz w:val="24"/>
            <w:szCs w:val="24"/>
            <w:u w:val="single"/>
            <w:lang w:val="en" w:eastAsia="en-GB"/>
          </w:rPr>
          <w:t>here</w:t>
        </w:r>
      </w:hyperlink>
      <w:r w:rsidRPr="00C537A9">
        <w:rPr>
          <w:rFonts w:eastAsia="Times New Roman" w:cs="Arial"/>
          <w:sz w:val="24"/>
          <w:szCs w:val="24"/>
          <w:lang w:val="en" w:eastAsia="en-GB"/>
        </w:rPr>
        <w:t xml:space="preserve"> to see them.</w:t>
      </w:r>
    </w:p>
    <w:p w:rsidR="00DA5444" w:rsidRPr="00C537A9" w:rsidRDefault="00DA5444" w:rsidP="00C36DF8">
      <w:pPr>
        <w:rPr>
          <w:rFonts w:cs="Arial"/>
          <w:sz w:val="24"/>
          <w:szCs w:val="24"/>
          <w:lang w:val="en"/>
        </w:rPr>
      </w:pPr>
    </w:p>
    <w:p w:rsidR="004636D2" w:rsidRDefault="004636D2" w:rsidP="00C36DF8">
      <w:pPr>
        <w:rPr>
          <w:rFonts w:cs="Arial"/>
          <w:sz w:val="24"/>
          <w:szCs w:val="24"/>
          <w:lang w:val="en"/>
        </w:rPr>
      </w:pPr>
    </w:p>
    <w:p w:rsidR="004636D2" w:rsidRDefault="004636D2" w:rsidP="00C36DF8">
      <w:pPr>
        <w:rPr>
          <w:rFonts w:cs="Arial"/>
          <w:sz w:val="24"/>
          <w:szCs w:val="24"/>
          <w:lang w:val="en"/>
        </w:rPr>
      </w:pPr>
    </w:p>
    <w:p w:rsidR="004636D2" w:rsidRDefault="004636D2" w:rsidP="00C36DF8">
      <w:pPr>
        <w:rPr>
          <w:rFonts w:cs="Arial"/>
          <w:sz w:val="24"/>
          <w:szCs w:val="24"/>
          <w:lang w:val="en"/>
        </w:rPr>
      </w:pPr>
    </w:p>
    <w:p w:rsidR="004636D2" w:rsidRDefault="004636D2" w:rsidP="00C36DF8">
      <w:pPr>
        <w:rPr>
          <w:rFonts w:cs="Arial"/>
          <w:sz w:val="24"/>
          <w:szCs w:val="24"/>
          <w:lang w:val="en"/>
        </w:rPr>
      </w:pPr>
    </w:p>
    <w:p w:rsidR="00DA22EA" w:rsidRPr="00C537A9" w:rsidRDefault="00DA22EA" w:rsidP="00C36DF8">
      <w:pPr>
        <w:rPr>
          <w:rFonts w:cs="Arial"/>
          <w:sz w:val="24"/>
          <w:szCs w:val="24"/>
          <w:lang w:val="en"/>
        </w:rPr>
      </w:pPr>
    </w:p>
    <w:p w:rsidR="004636D2" w:rsidRDefault="004636D2">
      <w:pPr>
        <w:rPr>
          <w:rFonts w:eastAsiaTheme="majorEastAsia" w:cs="Arial"/>
          <w:bCs/>
          <w:i/>
          <w:sz w:val="24"/>
          <w:szCs w:val="24"/>
          <w:lang w:val="en"/>
        </w:rPr>
      </w:pPr>
      <w:r>
        <w:rPr>
          <w:rFonts w:cs="Arial"/>
          <w:b/>
          <w:i/>
          <w:sz w:val="24"/>
          <w:szCs w:val="24"/>
          <w:lang w:val="en"/>
        </w:rPr>
        <w:br w:type="page"/>
      </w:r>
    </w:p>
    <w:p w:rsidR="00DA22EA" w:rsidRPr="006C50DE" w:rsidRDefault="004636D2"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 xml:space="preserve">Recommendations (Low Bleeding Risk)  -  </w:t>
      </w:r>
      <w:r w:rsidR="00DA22EA" w:rsidRPr="006C50DE">
        <w:rPr>
          <w:rFonts w:asciiTheme="minorHAnsi" w:hAnsiTheme="minorHAnsi" w:cs="Arial"/>
          <w:i w:val="0"/>
          <w:color w:val="auto"/>
          <w:sz w:val="28"/>
          <w:szCs w:val="24"/>
          <w:lang w:val="en"/>
        </w:rPr>
        <w:t>Medical Patients</w:t>
      </w:r>
    </w:p>
    <w:p w:rsidR="00AB6552" w:rsidRDefault="00AB6552" w:rsidP="00C36DF8">
      <w:pPr>
        <w:rPr>
          <w:rFonts w:eastAsia="Times New Roman" w:cs="Arial"/>
          <w:sz w:val="24"/>
          <w:szCs w:val="24"/>
          <w:lang w:val="en" w:eastAsia="en-GB"/>
        </w:rPr>
      </w:pPr>
    </w:p>
    <w:p w:rsidR="00DA22EA" w:rsidRDefault="00DA22EA" w:rsidP="00C36DF8">
      <w:pPr>
        <w:rPr>
          <w:rFonts w:cs="Arial"/>
          <w:sz w:val="24"/>
          <w:szCs w:val="24"/>
          <w:lang w:val="en"/>
        </w:rPr>
      </w:pPr>
    </w:p>
    <w:tbl>
      <w:tblPr>
        <w:tblStyle w:val="TableGrid"/>
        <w:tblW w:w="0" w:type="auto"/>
        <w:tblLook w:val="04A0" w:firstRow="1" w:lastRow="0" w:firstColumn="1" w:lastColumn="0" w:noHBand="0" w:noVBand="1"/>
      </w:tblPr>
      <w:tblGrid>
        <w:gridCol w:w="10881"/>
      </w:tblGrid>
      <w:tr w:rsidR="004636D2" w:rsidTr="004636D2">
        <w:tc>
          <w:tcPr>
            <w:tcW w:w="10881" w:type="dxa"/>
          </w:tcPr>
          <w:p w:rsidR="004636D2" w:rsidRPr="004636D2" w:rsidRDefault="004636D2" w:rsidP="004636D2">
            <w:pPr>
              <w:pStyle w:val="Heading4"/>
              <w:spacing w:before="0" w:after="120"/>
              <w:rPr>
                <w:rFonts w:asciiTheme="minorHAnsi" w:hAnsiTheme="minorHAnsi" w:cs="Arial"/>
                <w:color w:val="auto"/>
                <w:sz w:val="28"/>
                <w:szCs w:val="24"/>
                <w:lang w:val="en"/>
              </w:rPr>
            </w:pPr>
            <w:r w:rsidRPr="004636D2">
              <w:rPr>
                <w:rFonts w:asciiTheme="minorHAnsi" w:hAnsiTheme="minorHAnsi" w:cs="Arial"/>
                <w:color w:val="auto"/>
                <w:sz w:val="28"/>
                <w:szCs w:val="24"/>
                <w:lang w:val="en"/>
              </w:rPr>
              <w:t>General</w:t>
            </w:r>
          </w:p>
          <w:p w:rsidR="004636D2" w:rsidRDefault="004636D2" w:rsidP="004636D2">
            <w:pPr>
              <w:pStyle w:val="NormalWeb"/>
              <w:spacing w:before="0" w:beforeAutospacing="0" w:after="120" w:afterAutospacing="0"/>
              <w:rPr>
                <w:rFonts w:asciiTheme="minorHAnsi" w:hAnsiTheme="minorHAnsi" w:cs="Arial"/>
                <w:lang w:val="en"/>
              </w:rPr>
            </w:pP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Choose any one of:</w:t>
            </w:r>
          </w:p>
          <w:p w:rsidR="004636D2" w:rsidRPr="00C537A9" w:rsidRDefault="004636D2" w:rsidP="006C50DE">
            <w:pPr>
              <w:numPr>
                <w:ilvl w:val="0"/>
                <w:numId w:val="4"/>
              </w:numPr>
              <w:spacing w:after="120"/>
              <w:rPr>
                <w:rFonts w:cs="Arial"/>
                <w:sz w:val="24"/>
                <w:szCs w:val="24"/>
                <w:lang w:val="en"/>
              </w:rPr>
            </w:pPr>
            <w:r w:rsidRPr="00C537A9">
              <w:rPr>
                <w:rFonts w:cs="Arial"/>
                <w:sz w:val="24"/>
                <w:szCs w:val="24"/>
                <w:lang w:val="en"/>
              </w:rPr>
              <w:t>Fondaparinux sodium</w:t>
            </w:r>
          </w:p>
          <w:p w:rsidR="004636D2" w:rsidRPr="00C537A9" w:rsidRDefault="004636D2" w:rsidP="006C50DE">
            <w:pPr>
              <w:numPr>
                <w:ilvl w:val="0"/>
                <w:numId w:val="4"/>
              </w:numPr>
              <w:spacing w:after="120"/>
              <w:rPr>
                <w:rFonts w:cs="Arial"/>
                <w:sz w:val="24"/>
                <w:szCs w:val="24"/>
                <w:lang w:val="en"/>
              </w:rPr>
            </w:pPr>
            <w:r w:rsidRPr="00C537A9">
              <w:rPr>
                <w:rFonts w:cs="Arial"/>
                <w:sz w:val="24"/>
                <w:szCs w:val="24"/>
                <w:lang w:val="en"/>
              </w:rPr>
              <w:t>LMWH</w:t>
            </w:r>
          </w:p>
          <w:p w:rsidR="004636D2" w:rsidRPr="00C537A9" w:rsidRDefault="004636D2" w:rsidP="006C50DE">
            <w:pPr>
              <w:numPr>
                <w:ilvl w:val="0"/>
                <w:numId w:val="4"/>
              </w:numPr>
              <w:spacing w:after="120"/>
              <w:rPr>
                <w:rFonts w:cs="Arial"/>
                <w:sz w:val="24"/>
                <w:szCs w:val="24"/>
                <w:lang w:val="en"/>
              </w:rPr>
            </w:pPr>
            <w:r w:rsidRPr="00C537A9">
              <w:rPr>
                <w:rFonts w:cs="Arial"/>
                <w:sz w:val="24"/>
                <w:szCs w:val="24"/>
                <w:lang w:val="en"/>
              </w:rPr>
              <w:t>UFH (for patients with renal failure)</w:t>
            </w:r>
          </w:p>
          <w:p w:rsidR="004636D2" w:rsidRPr="004636D2"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noProof/>
              </w:rPr>
              <w:drawing>
                <wp:anchor distT="0" distB="0" distL="114300" distR="114300" simplePos="0" relativeHeight="251660288" behindDoc="0" locked="0" layoutInCell="1" allowOverlap="1" wp14:anchorId="42183DD6" wp14:editId="37090020">
                  <wp:simplePos x="0" y="0"/>
                  <wp:positionH relativeFrom="column">
                    <wp:posOffset>5008245</wp:posOffset>
                  </wp:positionH>
                  <wp:positionV relativeFrom="paragraph">
                    <wp:posOffset>-1505585</wp:posOffset>
                  </wp:positionV>
                  <wp:extent cx="1711325" cy="1755140"/>
                  <wp:effectExtent l="0" t="0" r="317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05_015_07_m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1325" cy="1755140"/>
                          </a:xfrm>
                          <a:prstGeom prst="rect">
                            <a:avLst/>
                          </a:prstGeom>
                        </pic:spPr>
                      </pic:pic>
                    </a:graphicData>
                  </a:graphic>
                  <wp14:sizeRelH relativeFrom="page">
                    <wp14:pctWidth>0</wp14:pctWidth>
                  </wp14:sizeRelH>
                  <wp14:sizeRelV relativeFrom="page">
                    <wp14:pctHeight>0</wp14:pctHeight>
                  </wp14:sizeRelV>
                </wp:anchor>
              </w:drawing>
            </w:r>
            <w:r w:rsidRPr="00C537A9">
              <w:rPr>
                <w:rFonts w:asciiTheme="minorHAnsi" w:hAnsiTheme="minorHAnsi" w:cs="Arial"/>
                <w:lang w:val="en"/>
              </w:rPr>
              <w:t>Start pharmacological VTE prophylaxis as soon as possible after risk assessment has been completed. Continue until the patient is no longer at increased risk o</w:t>
            </w:r>
            <w:r>
              <w:rPr>
                <w:rFonts w:asciiTheme="minorHAnsi" w:hAnsiTheme="minorHAnsi" w:cs="Arial"/>
                <w:lang w:val="en"/>
              </w:rPr>
              <w:t>f VTE.</w:t>
            </w:r>
          </w:p>
        </w:tc>
      </w:tr>
    </w:tbl>
    <w:p w:rsidR="004636D2" w:rsidRDefault="004636D2"/>
    <w:tbl>
      <w:tblPr>
        <w:tblStyle w:val="TableGrid"/>
        <w:tblW w:w="0" w:type="auto"/>
        <w:tblLook w:val="04A0" w:firstRow="1" w:lastRow="0" w:firstColumn="1" w:lastColumn="0" w:noHBand="0" w:noVBand="1"/>
      </w:tblPr>
      <w:tblGrid>
        <w:gridCol w:w="10881"/>
      </w:tblGrid>
      <w:tr w:rsidR="004636D2" w:rsidTr="004636D2">
        <w:tc>
          <w:tcPr>
            <w:tcW w:w="10881" w:type="dxa"/>
          </w:tcPr>
          <w:p w:rsidR="004636D2" w:rsidRPr="004636D2" w:rsidRDefault="004636D2" w:rsidP="004636D2">
            <w:pPr>
              <w:pStyle w:val="Heading4"/>
              <w:spacing w:before="0" w:after="120"/>
              <w:rPr>
                <w:rFonts w:asciiTheme="minorHAnsi" w:hAnsiTheme="minorHAnsi" w:cs="Arial"/>
                <w:color w:val="auto"/>
                <w:sz w:val="28"/>
                <w:szCs w:val="24"/>
                <w:lang w:val="en"/>
              </w:rPr>
            </w:pPr>
            <w:r w:rsidRPr="004636D2">
              <w:rPr>
                <w:rFonts w:asciiTheme="minorHAnsi" w:hAnsiTheme="minorHAnsi" w:cs="Arial"/>
                <w:color w:val="auto"/>
                <w:sz w:val="28"/>
                <w:szCs w:val="24"/>
                <w:lang w:val="en"/>
              </w:rPr>
              <w:t>Stroke</w:t>
            </w:r>
          </w:p>
          <w:p w:rsidR="004636D2" w:rsidRDefault="004636D2" w:rsidP="004636D2">
            <w:pPr>
              <w:pStyle w:val="NormalWeb"/>
              <w:spacing w:before="0" w:beforeAutospacing="0" w:after="120" w:afterAutospacing="0"/>
              <w:rPr>
                <w:rFonts w:asciiTheme="minorHAnsi" w:hAnsiTheme="minorHAnsi" w:cs="Arial"/>
                <w:lang w:val="en"/>
              </w:rPr>
            </w:pP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Do not offer anti-embolism stockings for VTE prophylaxis to patients who are admitted for stroke. Consider offering prophylactic-dose LMWH (or UFH for patients with renal failure) if:</w:t>
            </w:r>
          </w:p>
          <w:p w:rsidR="004636D2" w:rsidRPr="00C537A9" w:rsidRDefault="004636D2" w:rsidP="006C50DE">
            <w:pPr>
              <w:numPr>
                <w:ilvl w:val="0"/>
                <w:numId w:val="5"/>
              </w:numPr>
              <w:spacing w:after="120"/>
              <w:rPr>
                <w:rFonts w:cs="Arial"/>
                <w:sz w:val="24"/>
                <w:szCs w:val="24"/>
                <w:lang w:val="en"/>
              </w:rPr>
            </w:pPr>
            <w:r w:rsidRPr="00C537A9">
              <w:rPr>
                <w:rFonts w:cs="Arial"/>
                <w:sz w:val="24"/>
                <w:szCs w:val="24"/>
                <w:lang w:val="en"/>
              </w:rPr>
              <w:t xml:space="preserve">A diagnosis of haemorrhagic stroke has been excluded, </w:t>
            </w:r>
            <w:r w:rsidRPr="00C537A9">
              <w:rPr>
                <w:rStyle w:val="Strong"/>
                <w:rFonts w:cs="Arial"/>
                <w:sz w:val="24"/>
                <w:szCs w:val="24"/>
                <w:lang w:val="en"/>
              </w:rPr>
              <w:t>and</w:t>
            </w:r>
          </w:p>
          <w:p w:rsidR="004636D2" w:rsidRPr="00C537A9" w:rsidRDefault="004636D2" w:rsidP="006C50DE">
            <w:pPr>
              <w:numPr>
                <w:ilvl w:val="0"/>
                <w:numId w:val="5"/>
              </w:numPr>
              <w:spacing w:after="120"/>
              <w:rPr>
                <w:rFonts w:cs="Arial"/>
                <w:sz w:val="24"/>
                <w:szCs w:val="24"/>
                <w:lang w:val="en"/>
              </w:rPr>
            </w:pPr>
            <w:r w:rsidRPr="00C537A9">
              <w:rPr>
                <w:rFonts w:cs="Arial"/>
                <w:sz w:val="24"/>
                <w:szCs w:val="24"/>
                <w:lang w:val="en"/>
              </w:rPr>
              <w:t xml:space="preserve">The risk of bleeding (haemorrhagic transformation of stroke or bleeding into another site) is assessed to be low, </w:t>
            </w:r>
            <w:r w:rsidRPr="00C537A9">
              <w:rPr>
                <w:rStyle w:val="Strong"/>
                <w:rFonts w:cs="Arial"/>
                <w:sz w:val="24"/>
                <w:szCs w:val="24"/>
                <w:lang w:val="en"/>
              </w:rPr>
              <w:t>and</w:t>
            </w:r>
          </w:p>
          <w:p w:rsidR="004636D2" w:rsidRPr="00C537A9" w:rsidRDefault="004636D2" w:rsidP="006C50DE">
            <w:pPr>
              <w:numPr>
                <w:ilvl w:val="0"/>
                <w:numId w:val="5"/>
              </w:numPr>
              <w:spacing w:after="120"/>
              <w:rPr>
                <w:rFonts w:cs="Arial"/>
                <w:sz w:val="24"/>
                <w:szCs w:val="24"/>
                <w:lang w:val="en"/>
              </w:rPr>
            </w:pPr>
            <w:r w:rsidRPr="00C537A9">
              <w:rPr>
                <w:rFonts w:cs="Arial"/>
                <w:sz w:val="24"/>
                <w:szCs w:val="24"/>
                <w:lang w:val="en"/>
              </w:rPr>
              <w:t xml:space="preserve">The patient has one or more of: </w:t>
            </w:r>
          </w:p>
          <w:p w:rsidR="004636D2" w:rsidRPr="00C537A9" w:rsidRDefault="004636D2" w:rsidP="006C50DE">
            <w:pPr>
              <w:numPr>
                <w:ilvl w:val="1"/>
                <w:numId w:val="5"/>
              </w:numPr>
              <w:spacing w:after="120"/>
              <w:rPr>
                <w:rFonts w:cs="Arial"/>
                <w:sz w:val="24"/>
                <w:szCs w:val="24"/>
                <w:lang w:val="en"/>
              </w:rPr>
            </w:pPr>
            <w:r w:rsidRPr="00C537A9">
              <w:rPr>
                <w:rFonts w:cs="Arial"/>
                <w:sz w:val="24"/>
                <w:szCs w:val="24"/>
                <w:lang w:val="en"/>
              </w:rPr>
              <w:t>Major restriction of mobility</w:t>
            </w:r>
          </w:p>
          <w:p w:rsidR="004636D2" w:rsidRPr="00C537A9" w:rsidRDefault="004636D2" w:rsidP="006C50DE">
            <w:pPr>
              <w:numPr>
                <w:ilvl w:val="1"/>
                <w:numId w:val="5"/>
              </w:numPr>
              <w:spacing w:after="120"/>
              <w:rPr>
                <w:rFonts w:cs="Arial"/>
                <w:sz w:val="24"/>
                <w:szCs w:val="24"/>
                <w:lang w:val="en"/>
              </w:rPr>
            </w:pPr>
            <w:r w:rsidRPr="00C537A9">
              <w:rPr>
                <w:rFonts w:cs="Arial"/>
                <w:sz w:val="24"/>
                <w:szCs w:val="24"/>
                <w:lang w:val="en"/>
              </w:rPr>
              <w:t>Previous history of VTE</w:t>
            </w:r>
          </w:p>
          <w:p w:rsidR="004636D2" w:rsidRPr="00C537A9" w:rsidRDefault="004636D2" w:rsidP="006C50DE">
            <w:pPr>
              <w:numPr>
                <w:ilvl w:val="1"/>
                <w:numId w:val="5"/>
              </w:numPr>
              <w:spacing w:after="120"/>
              <w:rPr>
                <w:rFonts w:cs="Arial"/>
                <w:sz w:val="24"/>
                <w:szCs w:val="24"/>
                <w:lang w:val="en"/>
              </w:rPr>
            </w:pPr>
            <w:r w:rsidRPr="00C537A9">
              <w:rPr>
                <w:rFonts w:cs="Arial"/>
                <w:sz w:val="24"/>
                <w:szCs w:val="24"/>
                <w:lang w:val="en"/>
              </w:rPr>
              <w:t>Dehydration</w:t>
            </w:r>
          </w:p>
          <w:p w:rsidR="004636D2" w:rsidRPr="00C537A9" w:rsidRDefault="004636D2" w:rsidP="006C50DE">
            <w:pPr>
              <w:numPr>
                <w:ilvl w:val="1"/>
                <w:numId w:val="5"/>
              </w:numPr>
              <w:spacing w:after="120"/>
              <w:rPr>
                <w:rFonts w:cs="Arial"/>
                <w:sz w:val="24"/>
                <w:szCs w:val="24"/>
                <w:lang w:val="en"/>
              </w:rPr>
            </w:pPr>
            <w:r w:rsidRPr="00C537A9">
              <w:rPr>
                <w:rFonts w:cs="Arial"/>
                <w:sz w:val="24"/>
                <w:szCs w:val="24"/>
                <w:lang w:val="en"/>
              </w:rPr>
              <w:t>Comorbidities (such as malignant disease)</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Continue until the acute event is over and the patient's condition is stable.</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Do not offer foot impulse or neuromuscular electrical stimulation devices for VTE prophylaxis to patients who are admitted for stroke, except in the context of research.</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Consider intermittent pneumatic compression (IPC) for VTE prophylaxis in immobile patients who are admitted within 3 days of acute stroke. Explain to the patient or their family members or carers (as appropriate) that:</w:t>
            </w:r>
          </w:p>
          <w:p w:rsidR="004636D2" w:rsidRPr="00C537A9" w:rsidRDefault="004636D2" w:rsidP="006C50DE">
            <w:pPr>
              <w:numPr>
                <w:ilvl w:val="0"/>
                <w:numId w:val="6"/>
              </w:numPr>
              <w:spacing w:after="120"/>
              <w:rPr>
                <w:rFonts w:cs="Arial"/>
                <w:sz w:val="24"/>
                <w:szCs w:val="24"/>
                <w:lang w:val="en"/>
              </w:rPr>
            </w:pPr>
            <w:r w:rsidRPr="00C537A9">
              <w:rPr>
                <w:rFonts w:cs="Arial"/>
                <w:sz w:val="24"/>
                <w:szCs w:val="24"/>
                <w:lang w:val="en"/>
              </w:rPr>
              <w:t>It reduces the risk of deep vein thrombosis and may provide an increase in survival</w:t>
            </w:r>
          </w:p>
          <w:p w:rsidR="004636D2" w:rsidRPr="00C537A9" w:rsidRDefault="004636D2" w:rsidP="006C50DE">
            <w:pPr>
              <w:numPr>
                <w:ilvl w:val="0"/>
                <w:numId w:val="6"/>
              </w:numPr>
              <w:spacing w:after="120"/>
              <w:rPr>
                <w:rFonts w:cs="Arial"/>
                <w:sz w:val="24"/>
                <w:szCs w:val="24"/>
                <w:lang w:val="en"/>
              </w:rPr>
            </w:pPr>
            <w:r w:rsidRPr="00C537A9">
              <w:rPr>
                <w:rFonts w:cs="Arial"/>
                <w:sz w:val="24"/>
                <w:szCs w:val="24"/>
                <w:lang w:val="en"/>
              </w:rPr>
              <w:t>It will not help them recover from stroke, and there may be an associated increased risk of surviving with severe disability</w:t>
            </w:r>
          </w:p>
          <w:p w:rsidR="004636D2" w:rsidRPr="004636D2"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When using intermittent pneumatic compression for patients who are admitted for stroke, provide it for 30 days or until the patient is mobile or d</w:t>
            </w:r>
            <w:r>
              <w:rPr>
                <w:rFonts w:asciiTheme="minorHAnsi" w:hAnsiTheme="minorHAnsi" w:cs="Arial"/>
                <w:lang w:val="en"/>
              </w:rPr>
              <w:t>ischarged, whichever is sooner.</w:t>
            </w:r>
          </w:p>
        </w:tc>
      </w:tr>
    </w:tbl>
    <w:p w:rsidR="004636D2" w:rsidRDefault="004636D2">
      <w:r>
        <w:rPr>
          <w:b/>
          <w:bCs/>
          <w:i/>
          <w:iCs/>
        </w:rPr>
        <w:br w:type="page"/>
      </w:r>
    </w:p>
    <w:tbl>
      <w:tblPr>
        <w:tblStyle w:val="TableGrid"/>
        <w:tblW w:w="0" w:type="auto"/>
        <w:tblLook w:val="04A0" w:firstRow="1" w:lastRow="0" w:firstColumn="1" w:lastColumn="0" w:noHBand="0" w:noVBand="1"/>
      </w:tblPr>
      <w:tblGrid>
        <w:gridCol w:w="10881"/>
      </w:tblGrid>
      <w:tr w:rsidR="004636D2" w:rsidTr="004636D2">
        <w:tc>
          <w:tcPr>
            <w:tcW w:w="10881" w:type="dxa"/>
          </w:tcPr>
          <w:p w:rsidR="004636D2" w:rsidRDefault="004636D2" w:rsidP="004636D2">
            <w:pPr>
              <w:pStyle w:val="Heading4"/>
              <w:spacing w:before="0" w:after="120"/>
              <w:rPr>
                <w:rFonts w:asciiTheme="minorHAnsi" w:hAnsiTheme="minorHAnsi" w:cs="Arial"/>
                <w:color w:val="auto"/>
                <w:sz w:val="24"/>
                <w:szCs w:val="24"/>
                <w:lang w:val="en"/>
              </w:rPr>
            </w:pPr>
            <w:r w:rsidRPr="004636D2">
              <w:rPr>
                <w:rFonts w:asciiTheme="minorHAnsi" w:hAnsiTheme="minorHAnsi" w:cs="Arial"/>
                <w:color w:val="auto"/>
                <w:sz w:val="28"/>
                <w:szCs w:val="24"/>
                <w:lang w:val="en"/>
              </w:rPr>
              <w:lastRenderedPageBreak/>
              <w:t>Cancer</w:t>
            </w:r>
          </w:p>
          <w:p w:rsidR="004636D2" w:rsidRPr="004636D2" w:rsidRDefault="004636D2" w:rsidP="004636D2">
            <w:pPr>
              <w:spacing w:after="120"/>
              <w:rPr>
                <w:lang w:val="en"/>
              </w:rPr>
            </w:pP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Choose any one of:</w:t>
            </w:r>
          </w:p>
          <w:p w:rsidR="004636D2" w:rsidRPr="00C537A9" w:rsidRDefault="004636D2" w:rsidP="006C50DE">
            <w:pPr>
              <w:numPr>
                <w:ilvl w:val="0"/>
                <w:numId w:val="7"/>
              </w:numPr>
              <w:spacing w:after="120"/>
              <w:rPr>
                <w:rFonts w:cs="Arial"/>
                <w:sz w:val="24"/>
                <w:szCs w:val="24"/>
                <w:lang w:val="en"/>
              </w:rPr>
            </w:pPr>
            <w:r w:rsidRPr="00C537A9">
              <w:rPr>
                <w:rFonts w:cs="Arial"/>
                <w:sz w:val="24"/>
                <w:szCs w:val="24"/>
                <w:lang w:val="en"/>
              </w:rPr>
              <w:t>Fondaparinux sodium</w:t>
            </w:r>
          </w:p>
          <w:p w:rsidR="004636D2" w:rsidRPr="00C537A9" w:rsidRDefault="004636D2" w:rsidP="006C50DE">
            <w:pPr>
              <w:numPr>
                <w:ilvl w:val="0"/>
                <w:numId w:val="7"/>
              </w:numPr>
              <w:spacing w:after="120"/>
              <w:rPr>
                <w:rFonts w:cs="Arial"/>
                <w:sz w:val="24"/>
                <w:szCs w:val="24"/>
                <w:lang w:val="en"/>
              </w:rPr>
            </w:pPr>
            <w:r w:rsidRPr="00C537A9">
              <w:rPr>
                <w:rFonts w:cs="Arial"/>
                <w:sz w:val="24"/>
                <w:szCs w:val="24"/>
                <w:lang w:val="en"/>
              </w:rPr>
              <w:t>LMWH</w:t>
            </w:r>
          </w:p>
          <w:p w:rsidR="004636D2" w:rsidRPr="00C537A9" w:rsidRDefault="004636D2" w:rsidP="006C50DE">
            <w:pPr>
              <w:numPr>
                <w:ilvl w:val="0"/>
                <w:numId w:val="7"/>
              </w:numPr>
              <w:spacing w:after="120"/>
              <w:rPr>
                <w:rFonts w:cs="Arial"/>
                <w:sz w:val="24"/>
                <w:szCs w:val="24"/>
                <w:lang w:val="en"/>
              </w:rPr>
            </w:pPr>
            <w:r w:rsidRPr="00C537A9">
              <w:rPr>
                <w:rFonts w:cs="Arial"/>
                <w:sz w:val="24"/>
                <w:szCs w:val="24"/>
                <w:lang w:val="en"/>
              </w:rPr>
              <w:t>UFH (for patients with renal failure)</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Start pharmacological VTE prophylaxis as soon as possible after risk assessment has been completed. Continue until the patient is no longer at increased risk of VTE.</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Do not routinely offer pharmacological or mechanical VTE prophylaxis to patients with cancer having oncologi</w:t>
            </w:r>
            <w:r>
              <w:rPr>
                <w:rFonts w:asciiTheme="minorHAnsi" w:hAnsiTheme="minorHAnsi" w:cs="Arial"/>
                <w:lang w:val="en"/>
              </w:rPr>
              <w:t>cal treatment who are ambulant.</w:t>
            </w:r>
          </w:p>
        </w:tc>
      </w:tr>
    </w:tbl>
    <w:p w:rsidR="004636D2" w:rsidRDefault="004636D2"/>
    <w:tbl>
      <w:tblPr>
        <w:tblStyle w:val="TableGrid"/>
        <w:tblW w:w="0" w:type="auto"/>
        <w:tblLook w:val="04A0" w:firstRow="1" w:lastRow="0" w:firstColumn="1" w:lastColumn="0" w:noHBand="0" w:noVBand="1"/>
      </w:tblPr>
      <w:tblGrid>
        <w:gridCol w:w="10881"/>
      </w:tblGrid>
      <w:tr w:rsidR="004636D2" w:rsidTr="004636D2">
        <w:tc>
          <w:tcPr>
            <w:tcW w:w="10881" w:type="dxa"/>
          </w:tcPr>
          <w:p w:rsidR="004636D2" w:rsidRPr="004636D2" w:rsidRDefault="004636D2" w:rsidP="004636D2">
            <w:pPr>
              <w:pStyle w:val="Heading4"/>
              <w:spacing w:before="0" w:after="120"/>
              <w:rPr>
                <w:rFonts w:asciiTheme="minorHAnsi" w:hAnsiTheme="minorHAnsi" w:cs="Arial"/>
                <w:color w:val="auto"/>
                <w:sz w:val="28"/>
                <w:szCs w:val="24"/>
                <w:lang w:val="en"/>
              </w:rPr>
            </w:pPr>
            <w:r w:rsidRPr="004636D2">
              <w:rPr>
                <w:rFonts w:asciiTheme="minorHAnsi" w:hAnsiTheme="minorHAnsi" w:cs="Arial"/>
                <w:color w:val="auto"/>
                <w:sz w:val="28"/>
                <w:szCs w:val="24"/>
                <w:lang w:val="en"/>
              </w:rPr>
              <w:t>Palliative care</w:t>
            </w:r>
          </w:p>
          <w:p w:rsidR="004636D2" w:rsidRPr="004636D2" w:rsidRDefault="004636D2" w:rsidP="004636D2">
            <w:pPr>
              <w:spacing w:after="120"/>
              <w:rPr>
                <w:lang w:val="en"/>
              </w:rPr>
            </w:pP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Consider offering pharmacological VTE prophylaxis to patients in palliative care who have potentially reversible acute pathology.</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Take into account potential risks and benefits and the views of patients and their families and/or carers.</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Choose any one of:</w:t>
            </w:r>
          </w:p>
          <w:p w:rsidR="004636D2" w:rsidRPr="00C537A9" w:rsidRDefault="004636D2" w:rsidP="006C50DE">
            <w:pPr>
              <w:numPr>
                <w:ilvl w:val="0"/>
                <w:numId w:val="8"/>
              </w:numPr>
              <w:spacing w:after="120"/>
              <w:rPr>
                <w:rFonts w:cs="Arial"/>
                <w:sz w:val="24"/>
                <w:szCs w:val="24"/>
                <w:lang w:val="en"/>
              </w:rPr>
            </w:pPr>
            <w:r w:rsidRPr="00C537A9">
              <w:rPr>
                <w:rFonts w:cs="Arial"/>
                <w:sz w:val="24"/>
                <w:szCs w:val="24"/>
                <w:lang w:val="en"/>
              </w:rPr>
              <w:t>Fondaparinux sodium</w:t>
            </w:r>
          </w:p>
          <w:p w:rsidR="004636D2" w:rsidRPr="00C537A9" w:rsidRDefault="004636D2" w:rsidP="006C50DE">
            <w:pPr>
              <w:numPr>
                <w:ilvl w:val="0"/>
                <w:numId w:val="8"/>
              </w:numPr>
              <w:spacing w:after="120"/>
              <w:rPr>
                <w:rFonts w:cs="Arial"/>
                <w:sz w:val="24"/>
                <w:szCs w:val="24"/>
                <w:lang w:val="en"/>
              </w:rPr>
            </w:pPr>
            <w:r w:rsidRPr="00C537A9">
              <w:rPr>
                <w:rFonts w:cs="Arial"/>
                <w:sz w:val="24"/>
                <w:szCs w:val="24"/>
                <w:lang w:val="en"/>
              </w:rPr>
              <w:t>LMWH</w:t>
            </w:r>
          </w:p>
          <w:p w:rsidR="004636D2" w:rsidRPr="00C537A9" w:rsidRDefault="004636D2" w:rsidP="006C50DE">
            <w:pPr>
              <w:numPr>
                <w:ilvl w:val="0"/>
                <w:numId w:val="8"/>
              </w:numPr>
              <w:spacing w:after="120"/>
              <w:rPr>
                <w:rFonts w:cs="Arial"/>
                <w:sz w:val="24"/>
                <w:szCs w:val="24"/>
                <w:lang w:val="en"/>
              </w:rPr>
            </w:pPr>
            <w:r w:rsidRPr="00C537A9">
              <w:rPr>
                <w:rFonts w:cs="Arial"/>
                <w:sz w:val="24"/>
                <w:szCs w:val="24"/>
                <w:lang w:val="en"/>
              </w:rPr>
              <w:t>UFH (for patients with renal failure)</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Do not routinely offer pharmacological or mechanical VTE prophylaxis to patients admitted for terminal care or those commenced on an end-of-life care pathway.</w:t>
            </w:r>
          </w:p>
          <w:p w:rsidR="004636D2" w:rsidRPr="00C537A9" w:rsidRDefault="004636D2" w:rsidP="004636D2">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Review decisions about VTE prophylaxis for patients in palliative care daily, taking into account the views of patients, their families and/or care.</w:t>
            </w:r>
          </w:p>
        </w:tc>
      </w:tr>
    </w:tbl>
    <w:p w:rsidR="004636D2" w:rsidRDefault="004636D2" w:rsidP="00C36DF8">
      <w:pPr>
        <w:pStyle w:val="Heading2"/>
        <w:spacing w:before="0"/>
        <w:rPr>
          <w:rFonts w:asciiTheme="minorHAnsi" w:hAnsiTheme="minorHAnsi" w:cs="Arial"/>
          <w:color w:val="auto"/>
          <w:sz w:val="24"/>
          <w:szCs w:val="24"/>
          <w:lang w:val="en"/>
        </w:rPr>
      </w:pPr>
    </w:p>
    <w:p w:rsidR="004636D2" w:rsidRDefault="004636D2" w:rsidP="004636D2">
      <w:pPr>
        <w:rPr>
          <w:rFonts w:eastAsiaTheme="majorEastAsia"/>
          <w:lang w:val="en"/>
        </w:rPr>
      </w:pPr>
      <w:r>
        <w:rPr>
          <w:lang w:val="en"/>
        </w:rPr>
        <w:br w:type="page"/>
      </w:r>
    </w:p>
    <w:p w:rsidR="00DA22EA" w:rsidRPr="006C50DE" w:rsidRDefault="00DA22EA"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Reco</w:t>
      </w:r>
      <w:r w:rsidR="00AB6552" w:rsidRPr="006C50DE">
        <w:rPr>
          <w:rFonts w:asciiTheme="minorHAnsi" w:hAnsiTheme="minorHAnsi" w:cs="Arial"/>
          <w:i w:val="0"/>
          <w:color w:val="auto"/>
          <w:sz w:val="28"/>
          <w:szCs w:val="24"/>
          <w:lang w:val="en"/>
        </w:rPr>
        <w:t>mmendations (Low Bleeding Risk)</w:t>
      </w:r>
      <w:r w:rsidR="006C50DE">
        <w:rPr>
          <w:rFonts w:asciiTheme="minorHAnsi" w:hAnsiTheme="minorHAnsi" w:cs="Arial"/>
          <w:i w:val="0"/>
          <w:color w:val="auto"/>
          <w:sz w:val="28"/>
          <w:szCs w:val="24"/>
          <w:lang w:val="en"/>
        </w:rPr>
        <w:t xml:space="preserve">  -  </w:t>
      </w:r>
      <w:r w:rsidRPr="006C50DE">
        <w:rPr>
          <w:rFonts w:asciiTheme="minorHAnsi" w:hAnsiTheme="minorHAnsi" w:cs="Arial"/>
          <w:i w:val="0"/>
          <w:color w:val="auto"/>
          <w:sz w:val="28"/>
          <w:szCs w:val="24"/>
          <w:lang w:val="en"/>
        </w:rPr>
        <w:t>Surgical Patients</w:t>
      </w:r>
    </w:p>
    <w:p w:rsidR="00AB6552" w:rsidRDefault="00AB6552" w:rsidP="00AB6552">
      <w:pPr>
        <w:rPr>
          <w:lang w:val="en"/>
        </w:rPr>
      </w:pPr>
    </w:p>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0" w:afterAutospacing="0"/>
              <w:rPr>
                <w:rFonts w:asciiTheme="minorHAnsi" w:hAnsiTheme="minorHAnsi" w:cs="Arial"/>
                <w:b/>
                <w:sz w:val="28"/>
                <w:lang w:val="en"/>
              </w:rPr>
            </w:pPr>
            <w:r w:rsidRPr="006C50DE">
              <w:rPr>
                <w:rFonts w:asciiTheme="minorHAnsi" w:hAnsiTheme="minorHAnsi" w:cs="Arial"/>
                <w:b/>
                <w:noProof/>
                <w:sz w:val="28"/>
              </w:rPr>
              <w:drawing>
                <wp:anchor distT="0" distB="0" distL="114300" distR="114300" simplePos="0" relativeHeight="251661312" behindDoc="0" locked="0" layoutInCell="1" allowOverlap="1" wp14:anchorId="20DC1478" wp14:editId="3609FD56">
                  <wp:simplePos x="0" y="0"/>
                  <wp:positionH relativeFrom="column">
                    <wp:posOffset>5093970</wp:posOffset>
                  </wp:positionH>
                  <wp:positionV relativeFrom="paragraph">
                    <wp:posOffset>163830</wp:posOffset>
                  </wp:positionV>
                  <wp:extent cx="1594485" cy="1329055"/>
                  <wp:effectExtent l="0" t="0" r="5715" b="444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_034_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4485" cy="1329055"/>
                          </a:xfrm>
                          <a:prstGeom prst="rect">
                            <a:avLst/>
                          </a:prstGeom>
                        </pic:spPr>
                      </pic:pic>
                    </a:graphicData>
                  </a:graphic>
                  <wp14:sizeRelH relativeFrom="page">
                    <wp14:pctWidth>0</wp14:pctWidth>
                  </wp14:sizeRelH>
                  <wp14:sizeRelV relativeFrom="page">
                    <wp14:pctHeight>0</wp14:pctHeight>
                  </wp14:sizeRelV>
                </wp:anchor>
              </w:drawing>
            </w:r>
            <w:r w:rsidRPr="006C50DE">
              <w:rPr>
                <w:rFonts w:asciiTheme="minorHAnsi" w:hAnsiTheme="minorHAnsi" w:cs="Arial"/>
                <w:b/>
                <w:sz w:val="28"/>
                <w:lang w:val="en"/>
              </w:rPr>
              <w:t>Cardiac</w:t>
            </w:r>
          </w:p>
          <w:p w:rsidR="006C50DE" w:rsidRPr="006C50DE" w:rsidRDefault="006C50DE" w:rsidP="006C50DE">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Offer VTE prophylaxis to patients undergoing cardiac surgery who are not having other anticoagulation therapy and are assessed to be at increased risk of VTE. Start mechanical VTE prophylaxis at admission.</w:t>
            </w:r>
          </w:p>
          <w:p w:rsidR="006C50DE" w:rsidRPr="006C50DE" w:rsidRDefault="006C50DE" w:rsidP="00AB6552">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any one of:</w:t>
            </w:r>
          </w:p>
          <w:p w:rsidR="006C50DE" w:rsidRPr="00C537A9" w:rsidRDefault="006C50DE" w:rsidP="006C50DE">
            <w:pPr>
              <w:numPr>
                <w:ilvl w:val="0"/>
                <w:numId w:val="9"/>
              </w:numPr>
              <w:rPr>
                <w:rFonts w:cs="Arial"/>
                <w:sz w:val="24"/>
                <w:szCs w:val="24"/>
                <w:lang w:val="en"/>
              </w:rPr>
            </w:pPr>
            <w:r w:rsidRPr="00C537A9">
              <w:rPr>
                <w:rFonts w:cs="Arial"/>
                <w:sz w:val="24"/>
                <w:szCs w:val="24"/>
                <w:lang w:val="en"/>
              </w:rPr>
              <w:t>Anti-embolism stockings (thigh or knee length)</w:t>
            </w:r>
          </w:p>
          <w:p w:rsidR="006C50DE" w:rsidRPr="00C537A9" w:rsidRDefault="006C50DE" w:rsidP="006C50DE">
            <w:pPr>
              <w:numPr>
                <w:ilvl w:val="0"/>
                <w:numId w:val="9"/>
              </w:numPr>
              <w:rPr>
                <w:rFonts w:cs="Arial"/>
                <w:sz w:val="24"/>
                <w:szCs w:val="24"/>
                <w:lang w:val="en"/>
              </w:rPr>
            </w:pPr>
            <w:r w:rsidRPr="00C537A9">
              <w:rPr>
                <w:rFonts w:cs="Arial"/>
                <w:sz w:val="24"/>
                <w:szCs w:val="24"/>
                <w:lang w:val="en"/>
              </w:rPr>
              <w:t>Foot impulse devices</w:t>
            </w:r>
          </w:p>
          <w:p w:rsidR="006C50DE" w:rsidRPr="00C537A9" w:rsidRDefault="006C50DE" w:rsidP="006C50DE">
            <w:pPr>
              <w:numPr>
                <w:ilvl w:val="0"/>
                <w:numId w:val="9"/>
              </w:numPr>
              <w:rPr>
                <w:rFonts w:cs="Arial"/>
                <w:sz w:val="24"/>
                <w:szCs w:val="24"/>
                <w:lang w:val="en"/>
              </w:rPr>
            </w:pPr>
            <w:r w:rsidRPr="00C537A9">
              <w:rPr>
                <w:rFonts w:cs="Arial"/>
                <w:sz w:val="24"/>
                <w:szCs w:val="24"/>
                <w:lang w:val="en"/>
              </w:rPr>
              <w:t>Intermittent pneumatic compression devices (thigh or knee length)</w:t>
            </w:r>
          </w:p>
          <w:p w:rsidR="006C50DE" w:rsidRPr="006C50DE" w:rsidRDefault="006C50DE" w:rsidP="00AB6552">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Continue mechanical VTE prophylaxis until the patient no longer has significantly reduced mobility.</w:t>
            </w:r>
          </w:p>
          <w:p w:rsidR="006C50DE" w:rsidRPr="006C50DE" w:rsidRDefault="006C50DE" w:rsidP="00AB6552">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Add pharmacological VTE prophylaxis for patients who have a low risk of major bleeding, taking into account individual patient factors and according to clinical judgement.</w:t>
            </w:r>
          </w:p>
          <w:p w:rsidR="006C50DE" w:rsidRPr="006C50DE" w:rsidRDefault="006C50DE" w:rsidP="00AB6552">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one of:</w:t>
            </w:r>
          </w:p>
          <w:p w:rsidR="006C50DE" w:rsidRPr="00C537A9" w:rsidRDefault="006C50DE" w:rsidP="006C50DE">
            <w:pPr>
              <w:numPr>
                <w:ilvl w:val="0"/>
                <w:numId w:val="10"/>
              </w:numPr>
              <w:rPr>
                <w:rFonts w:cs="Arial"/>
                <w:sz w:val="24"/>
                <w:szCs w:val="24"/>
                <w:lang w:val="en"/>
              </w:rPr>
            </w:pPr>
            <w:r w:rsidRPr="00C537A9">
              <w:rPr>
                <w:rFonts w:cs="Arial"/>
                <w:sz w:val="24"/>
                <w:szCs w:val="24"/>
                <w:lang w:val="en"/>
              </w:rPr>
              <w:t>LMWH</w:t>
            </w:r>
          </w:p>
          <w:p w:rsidR="006C50DE" w:rsidRPr="00C537A9" w:rsidRDefault="006C50DE" w:rsidP="006C50DE">
            <w:pPr>
              <w:numPr>
                <w:ilvl w:val="0"/>
                <w:numId w:val="10"/>
              </w:numPr>
              <w:rPr>
                <w:rFonts w:cs="Arial"/>
                <w:sz w:val="24"/>
                <w:szCs w:val="24"/>
                <w:lang w:val="en"/>
              </w:rPr>
            </w:pPr>
            <w:r w:rsidRPr="00C537A9">
              <w:rPr>
                <w:rFonts w:cs="Arial"/>
                <w:sz w:val="24"/>
                <w:szCs w:val="24"/>
                <w:lang w:val="en"/>
              </w:rPr>
              <w:t>UFH (for patients with renal failure)</w:t>
            </w:r>
          </w:p>
          <w:p w:rsidR="006C50DE" w:rsidRPr="006C50DE" w:rsidRDefault="006C50DE" w:rsidP="00AB6552">
            <w:pPr>
              <w:pStyle w:val="NormalWeb"/>
              <w:spacing w:before="0" w:beforeAutospacing="0" w:after="0" w:afterAutospacing="0"/>
              <w:rPr>
                <w:rFonts w:asciiTheme="minorHAnsi" w:hAnsiTheme="minorHAnsi" w:cs="Arial"/>
                <w:sz w:val="22"/>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Continue pharmacological VTE prophylaxis until the patient no longer has significantly reduced mobility (generally 5–7 days).</w:t>
            </w:r>
          </w:p>
          <w:p w:rsidR="006C50DE" w:rsidRDefault="006C50DE" w:rsidP="00AB6552">
            <w:pPr>
              <w:rPr>
                <w:lang w:val="en"/>
              </w:rPr>
            </w:pPr>
          </w:p>
        </w:tc>
      </w:tr>
    </w:tbl>
    <w:p w:rsidR="006C50DE" w:rsidRDefault="006C50DE"/>
    <w:p w:rsidR="006C50DE" w:rsidRDefault="006C50DE">
      <w:r>
        <w:br w:type="page"/>
      </w:r>
    </w:p>
    <w:p w:rsidR="006C50DE" w:rsidRDefault="006C50DE"/>
    <w:p w:rsidR="006C50DE" w:rsidRPr="006C50DE" w:rsidRDefault="006C50DE" w:rsidP="006C50DE">
      <w:pPr>
        <w:pStyle w:val="NormalWeb"/>
        <w:spacing w:before="0" w:beforeAutospacing="0" w:after="0" w:afterAutospacing="0"/>
        <w:rPr>
          <w:rFonts w:asciiTheme="minorHAnsi" w:hAnsiTheme="minorHAnsi" w:cs="Arial"/>
          <w:b/>
          <w:sz w:val="28"/>
          <w:lang w:val="en"/>
        </w:rPr>
      </w:pPr>
      <w:r w:rsidRPr="006C50DE">
        <w:rPr>
          <w:rFonts w:asciiTheme="minorHAnsi" w:hAnsiTheme="minorHAnsi" w:cs="Arial"/>
          <w:b/>
          <w:sz w:val="28"/>
          <w:lang w:val="en"/>
        </w:rPr>
        <w:t>GI, gynae, thoracic and urology</w:t>
      </w:r>
    </w:p>
    <w:p w:rsidR="006C50DE" w:rsidRDefault="006C50DE" w:rsidP="006C50DE">
      <w:pPr>
        <w:pStyle w:val="NormalWeb"/>
        <w:spacing w:before="0" w:beforeAutospacing="0" w:after="0" w:afterAutospacing="0"/>
        <w:rPr>
          <w:lang w:val="en"/>
        </w:rPr>
      </w:pPr>
    </w:p>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0" w:afterAutospacing="0"/>
              <w:rPr>
                <w:rFonts w:asciiTheme="minorHAnsi" w:hAnsiTheme="minorHAnsi" w:cs="Arial"/>
                <w:b/>
                <w:sz w:val="28"/>
                <w:lang w:val="en"/>
              </w:rPr>
            </w:pPr>
            <w:r w:rsidRPr="006C50DE">
              <w:rPr>
                <w:rFonts w:asciiTheme="minorHAnsi" w:hAnsiTheme="minorHAnsi" w:cs="Arial"/>
                <w:b/>
                <w:sz w:val="28"/>
                <w:lang w:val="en"/>
              </w:rPr>
              <w:t xml:space="preserve">Bariatric patients </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Offer VTE prophylaxis to patients undergoing bariatric surgery. Start mechanical VTE prophylaxis at admission.</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any one of:</w:t>
            </w:r>
          </w:p>
          <w:p w:rsidR="006C50DE" w:rsidRPr="00C537A9" w:rsidRDefault="006C50DE" w:rsidP="006C50DE">
            <w:pPr>
              <w:numPr>
                <w:ilvl w:val="0"/>
                <w:numId w:val="11"/>
              </w:numPr>
              <w:rPr>
                <w:rFonts w:cs="Arial"/>
                <w:sz w:val="24"/>
                <w:szCs w:val="24"/>
                <w:lang w:val="en"/>
              </w:rPr>
            </w:pPr>
            <w:r w:rsidRPr="00C537A9">
              <w:rPr>
                <w:rFonts w:cs="Arial"/>
                <w:sz w:val="24"/>
                <w:szCs w:val="24"/>
                <w:lang w:val="en"/>
              </w:rPr>
              <w:t>Anti-embolism stockings (thigh or knee length)</w:t>
            </w:r>
          </w:p>
          <w:p w:rsidR="006C50DE" w:rsidRPr="00C537A9" w:rsidRDefault="006C50DE" w:rsidP="006C50DE">
            <w:pPr>
              <w:numPr>
                <w:ilvl w:val="0"/>
                <w:numId w:val="11"/>
              </w:numPr>
              <w:rPr>
                <w:rFonts w:cs="Arial"/>
                <w:sz w:val="24"/>
                <w:szCs w:val="24"/>
                <w:lang w:val="en"/>
              </w:rPr>
            </w:pPr>
            <w:r w:rsidRPr="00C537A9">
              <w:rPr>
                <w:rFonts w:cs="Arial"/>
                <w:sz w:val="24"/>
                <w:szCs w:val="24"/>
                <w:lang w:val="en"/>
              </w:rPr>
              <w:t>Foot impulse devices</w:t>
            </w:r>
          </w:p>
          <w:p w:rsidR="006C50DE" w:rsidRPr="00C537A9" w:rsidRDefault="006C50DE" w:rsidP="006C50DE">
            <w:pPr>
              <w:numPr>
                <w:ilvl w:val="0"/>
                <w:numId w:val="11"/>
              </w:numPr>
              <w:rPr>
                <w:rFonts w:cs="Arial"/>
                <w:sz w:val="24"/>
                <w:szCs w:val="24"/>
                <w:lang w:val="en"/>
              </w:rPr>
            </w:pPr>
            <w:r w:rsidRPr="00C537A9">
              <w:rPr>
                <w:rFonts w:cs="Arial"/>
                <w:sz w:val="24"/>
                <w:szCs w:val="24"/>
                <w:lang w:val="en"/>
              </w:rPr>
              <w:t>Intermittent pneumatic compression devices (thigh or knee length)</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Continue mechanical VTE prophylaxis until the patient no longer has significantly reduced mobility.</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Add pharmacological VTE prophylaxis for patients who have a low risk of major bleeding, taking into account individual patient factors and according to clinical judgement.</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any one of:</w:t>
            </w:r>
          </w:p>
          <w:p w:rsidR="006C50DE" w:rsidRPr="00C537A9" w:rsidRDefault="006C50DE" w:rsidP="006C50DE">
            <w:pPr>
              <w:numPr>
                <w:ilvl w:val="0"/>
                <w:numId w:val="12"/>
              </w:numPr>
              <w:rPr>
                <w:rFonts w:cs="Arial"/>
                <w:sz w:val="24"/>
                <w:szCs w:val="24"/>
                <w:lang w:val="en"/>
              </w:rPr>
            </w:pPr>
            <w:r w:rsidRPr="00C537A9">
              <w:rPr>
                <w:rFonts w:cs="Arial"/>
                <w:sz w:val="24"/>
                <w:szCs w:val="24"/>
                <w:lang w:val="en"/>
              </w:rPr>
              <w:t>LMWH</w:t>
            </w:r>
          </w:p>
          <w:p w:rsidR="006C50DE" w:rsidRPr="00C537A9" w:rsidRDefault="006C50DE" w:rsidP="006C50DE">
            <w:pPr>
              <w:numPr>
                <w:ilvl w:val="0"/>
                <w:numId w:val="12"/>
              </w:numPr>
              <w:rPr>
                <w:rFonts w:cs="Arial"/>
                <w:sz w:val="24"/>
                <w:szCs w:val="24"/>
                <w:lang w:val="en"/>
              </w:rPr>
            </w:pPr>
            <w:r w:rsidRPr="00C537A9">
              <w:rPr>
                <w:rFonts w:cs="Arial"/>
                <w:sz w:val="24"/>
                <w:szCs w:val="24"/>
                <w:lang w:val="en"/>
              </w:rPr>
              <w:t>UFH (for patients with renal failure)</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 xml:space="preserve">Continue pharmacological VTE prophylaxis until the patient no longer has significantly reduced mobility </w:t>
            </w:r>
            <w:r>
              <w:rPr>
                <w:rFonts w:asciiTheme="minorHAnsi" w:hAnsiTheme="minorHAnsi" w:cs="Arial"/>
                <w:lang w:val="en"/>
              </w:rPr>
              <w:t>(generally 5–7 days).</w:t>
            </w:r>
          </w:p>
          <w:p w:rsidR="006C50DE" w:rsidRPr="006C50DE" w:rsidRDefault="006C50DE" w:rsidP="006C50DE">
            <w:pPr>
              <w:pStyle w:val="NormalWeb"/>
              <w:spacing w:before="0" w:beforeAutospacing="0" w:after="0" w:afterAutospacing="0"/>
              <w:rPr>
                <w:rFonts w:asciiTheme="minorHAnsi" w:hAnsiTheme="minorHAnsi" w:cs="Arial"/>
                <w:b/>
                <w:sz w:val="28"/>
                <w:lang w:val="en"/>
              </w:rPr>
            </w:pPr>
          </w:p>
        </w:tc>
      </w:tr>
    </w:tbl>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Pr="006C50DE" w:rsidRDefault="00476C58" w:rsidP="006C50DE">
            <w:pPr>
              <w:pStyle w:val="NormalWeb"/>
              <w:spacing w:before="0" w:beforeAutospacing="0" w:after="0" w:afterAutospacing="0"/>
              <w:rPr>
                <w:rFonts w:asciiTheme="minorHAnsi" w:hAnsiTheme="minorHAnsi" w:cs="Arial"/>
                <w:b/>
                <w:sz w:val="28"/>
                <w:lang w:val="en"/>
              </w:rPr>
            </w:pPr>
            <w:hyperlink r:id="rId36" w:tooltip="Gastrointestinal patients" w:history="1">
              <w:r w:rsidR="006C50DE" w:rsidRPr="006C50DE">
                <w:rPr>
                  <w:rFonts w:asciiTheme="minorHAnsi" w:hAnsiTheme="minorHAnsi" w:cs="Arial"/>
                  <w:b/>
                  <w:sz w:val="28"/>
                  <w:lang w:val="en"/>
                </w:rPr>
                <w:t>Gastrointestinal patients</w:t>
              </w:r>
            </w:hyperlink>
            <w:r w:rsidR="006C50DE" w:rsidRPr="006C50DE">
              <w:rPr>
                <w:rFonts w:asciiTheme="minorHAnsi" w:hAnsiTheme="minorHAnsi" w:cs="Arial"/>
                <w:b/>
                <w:sz w:val="28"/>
                <w:lang w:val="en"/>
              </w:rPr>
              <w:t xml:space="preserve"> </w:t>
            </w:r>
          </w:p>
          <w:p w:rsidR="006C50DE" w:rsidRPr="006C50DE" w:rsidRDefault="006C50DE" w:rsidP="006C50DE">
            <w:pPr>
              <w:pStyle w:val="NormalWeb"/>
              <w:spacing w:before="0" w:beforeAutospacing="0" w:after="0" w:afterAutospacing="0"/>
              <w:rPr>
                <w:rFonts w:asciiTheme="minorHAnsi" w:hAnsiTheme="minorHAnsi" w:cs="Arial"/>
                <w:b/>
                <w:sz w:val="28"/>
                <w:lang w:val="en"/>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Offer VTE prophylaxis to patients undergoing gastrointestinal surgery who are assessed to be at increased risk of VTE. Start mechanical VTE prophylaxis at admission.</w:t>
            </w:r>
          </w:p>
          <w:p w:rsidR="006C50DE" w:rsidRDefault="006C50DE" w:rsidP="006C50DE">
            <w:pPr>
              <w:rPr>
                <w:rFonts w:eastAsia="Times New Roman" w:cs="Times New Roman"/>
                <w:sz w:val="24"/>
                <w:szCs w:val="24"/>
                <w:lang w:val="en" w:eastAsia="en-GB"/>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Choose any one of:</w:t>
            </w:r>
          </w:p>
          <w:p w:rsidR="006C50DE" w:rsidRPr="00C537A9" w:rsidRDefault="006C50DE" w:rsidP="006C50DE">
            <w:pPr>
              <w:numPr>
                <w:ilvl w:val="0"/>
                <w:numId w:val="19"/>
              </w:numPr>
              <w:rPr>
                <w:rFonts w:eastAsia="Times New Roman" w:cs="Times New Roman"/>
                <w:sz w:val="24"/>
                <w:szCs w:val="24"/>
                <w:lang w:val="en" w:eastAsia="en-GB"/>
              </w:rPr>
            </w:pPr>
            <w:r w:rsidRPr="00C537A9">
              <w:rPr>
                <w:rFonts w:eastAsia="Times New Roman" w:cs="Times New Roman"/>
                <w:sz w:val="24"/>
                <w:szCs w:val="24"/>
                <w:lang w:val="en" w:eastAsia="en-GB"/>
              </w:rPr>
              <w:t>Anti-embolism stockings (thigh or knee length)</w:t>
            </w:r>
          </w:p>
          <w:p w:rsidR="006C50DE" w:rsidRPr="00C537A9" w:rsidRDefault="006C50DE" w:rsidP="006C50DE">
            <w:pPr>
              <w:numPr>
                <w:ilvl w:val="0"/>
                <w:numId w:val="19"/>
              </w:numPr>
              <w:rPr>
                <w:rFonts w:eastAsia="Times New Roman" w:cs="Times New Roman"/>
                <w:sz w:val="24"/>
                <w:szCs w:val="24"/>
                <w:lang w:val="en" w:eastAsia="en-GB"/>
              </w:rPr>
            </w:pPr>
            <w:r w:rsidRPr="00C537A9">
              <w:rPr>
                <w:rFonts w:eastAsia="Times New Roman" w:cs="Times New Roman"/>
                <w:sz w:val="24"/>
                <w:szCs w:val="24"/>
                <w:lang w:val="en" w:eastAsia="en-GB"/>
              </w:rPr>
              <w:t>Foot impulse devices</w:t>
            </w:r>
          </w:p>
          <w:p w:rsidR="006C50DE" w:rsidRPr="00C537A9" w:rsidRDefault="006C50DE" w:rsidP="006C50DE">
            <w:pPr>
              <w:numPr>
                <w:ilvl w:val="0"/>
                <w:numId w:val="19"/>
              </w:numPr>
              <w:rPr>
                <w:rFonts w:eastAsia="Times New Roman" w:cs="Times New Roman"/>
                <w:sz w:val="24"/>
                <w:szCs w:val="24"/>
                <w:lang w:val="en" w:eastAsia="en-GB"/>
              </w:rPr>
            </w:pPr>
            <w:r w:rsidRPr="00C537A9">
              <w:rPr>
                <w:rFonts w:eastAsia="Times New Roman" w:cs="Times New Roman"/>
                <w:sz w:val="24"/>
                <w:szCs w:val="24"/>
                <w:lang w:val="en" w:eastAsia="en-GB"/>
              </w:rPr>
              <w:t>Intermittent pneumatic compression devices (thigh or knee length)</w:t>
            </w:r>
          </w:p>
          <w:p w:rsidR="006C50DE" w:rsidRDefault="006C50DE" w:rsidP="006C50DE">
            <w:pPr>
              <w:rPr>
                <w:rFonts w:eastAsia="Times New Roman" w:cs="Times New Roman"/>
                <w:sz w:val="24"/>
                <w:szCs w:val="24"/>
                <w:lang w:val="en" w:eastAsia="en-GB"/>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Continue mechanical VTE prophylaxis until the patient no longer has significantly reduced mobility.</w:t>
            </w:r>
          </w:p>
          <w:p w:rsidR="006C50DE" w:rsidRDefault="006C50DE" w:rsidP="006C50DE">
            <w:pPr>
              <w:rPr>
                <w:rFonts w:eastAsia="Times New Roman" w:cs="Times New Roman"/>
                <w:sz w:val="24"/>
                <w:szCs w:val="24"/>
                <w:lang w:val="en" w:eastAsia="en-GB"/>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Add pharmacological VTE prophylaxis for patients who have a low risk of major bleeding, taking into account individual patient factors and according to clinical judgement.</w:t>
            </w:r>
          </w:p>
          <w:p w:rsidR="006C50DE" w:rsidRDefault="006C50DE" w:rsidP="006C50DE">
            <w:pPr>
              <w:rPr>
                <w:rFonts w:eastAsia="Times New Roman" w:cs="Times New Roman"/>
                <w:sz w:val="24"/>
                <w:szCs w:val="24"/>
                <w:lang w:val="en" w:eastAsia="en-GB"/>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Choose any one of:</w:t>
            </w:r>
          </w:p>
          <w:p w:rsidR="006C50DE" w:rsidRPr="00C537A9" w:rsidRDefault="006C50DE" w:rsidP="006C50DE">
            <w:pPr>
              <w:numPr>
                <w:ilvl w:val="0"/>
                <w:numId w:val="20"/>
              </w:numPr>
              <w:rPr>
                <w:rFonts w:eastAsia="Times New Roman" w:cs="Times New Roman"/>
                <w:sz w:val="24"/>
                <w:szCs w:val="24"/>
                <w:lang w:val="en" w:eastAsia="en-GB"/>
              </w:rPr>
            </w:pPr>
            <w:r w:rsidRPr="00C537A9">
              <w:rPr>
                <w:rFonts w:eastAsia="Times New Roman" w:cs="Times New Roman"/>
                <w:sz w:val="24"/>
                <w:szCs w:val="24"/>
                <w:lang w:val="en" w:eastAsia="en-GB"/>
              </w:rPr>
              <w:t>LMWH</w:t>
            </w:r>
          </w:p>
          <w:p w:rsidR="006C50DE" w:rsidRPr="00C537A9" w:rsidRDefault="006C50DE" w:rsidP="006C50DE">
            <w:pPr>
              <w:numPr>
                <w:ilvl w:val="0"/>
                <w:numId w:val="20"/>
              </w:numPr>
              <w:rPr>
                <w:rFonts w:eastAsia="Times New Roman" w:cs="Times New Roman"/>
                <w:sz w:val="24"/>
                <w:szCs w:val="24"/>
                <w:lang w:val="en" w:eastAsia="en-GB"/>
              </w:rPr>
            </w:pPr>
            <w:r w:rsidRPr="00C537A9">
              <w:rPr>
                <w:rFonts w:eastAsia="Times New Roman" w:cs="Times New Roman"/>
                <w:sz w:val="24"/>
                <w:szCs w:val="24"/>
                <w:lang w:val="en" w:eastAsia="en-GB"/>
              </w:rPr>
              <w:t>UFH (for patients with renal failure)</w:t>
            </w:r>
          </w:p>
          <w:p w:rsidR="006C50DE" w:rsidRDefault="006C50DE" w:rsidP="006C50DE">
            <w:pPr>
              <w:rPr>
                <w:rFonts w:eastAsia="Times New Roman" w:cs="Times New Roman"/>
                <w:sz w:val="24"/>
                <w:szCs w:val="24"/>
                <w:lang w:val="en" w:eastAsia="en-GB"/>
              </w:rPr>
            </w:pPr>
          </w:p>
          <w:p w:rsidR="006C50DE" w:rsidRPr="00C537A9" w:rsidRDefault="006C50DE" w:rsidP="006C50DE">
            <w:pPr>
              <w:rPr>
                <w:rFonts w:eastAsia="Times New Roman" w:cs="Times New Roman"/>
                <w:sz w:val="24"/>
                <w:szCs w:val="24"/>
                <w:lang w:val="en" w:eastAsia="en-GB"/>
              </w:rPr>
            </w:pPr>
            <w:r w:rsidRPr="00C537A9">
              <w:rPr>
                <w:rFonts w:eastAsia="Times New Roman" w:cs="Times New Roman"/>
                <w:sz w:val="24"/>
                <w:szCs w:val="24"/>
                <w:lang w:val="en" w:eastAsia="en-GB"/>
              </w:rPr>
              <w:t>Continue pharmacological VTE prophylaxis until the patient no longer has significantly reduced mobility (generally 5–7 days).</w:t>
            </w:r>
          </w:p>
          <w:p w:rsidR="006C50DE" w:rsidRDefault="006C50DE" w:rsidP="00AB6552">
            <w:pPr>
              <w:rPr>
                <w:lang w:val="en"/>
              </w:rPr>
            </w:pPr>
          </w:p>
        </w:tc>
      </w:tr>
    </w:tbl>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476C58" w:rsidP="006C50DE">
            <w:pPr>
              <w:pStyle w:val="NormalWeb"/>
              <w:spacing w:before="0" w:beforeAutospacing="0" w:after="0" w:afterAutospacing="0"/>
              <w:rPr>
                <w:rFonts w:asciiTheme="minorHAnsi" w:hAnsiTheme="minorHAnsi" w:cs="Arial"/>
                <w:b/>
                <w:sz w:val="28"/>
                <w:lang w:val="en"/>
              </w:rPr>
            </w:pPr>
            <w:hyperlink r:id="rId37" w:history="1">
              <w:r w:rsidR="006C50DE" w:rsidRPr="006C50DE">
                <w:rPr>
                  <w:rFonts w:asciiTheme="minorHAnsi" w:hAnsiTheme="minorHAnsi" w:cs="Arial"/>
                  <w:b/>
                  <w:sz w:val="28"/>
                  <w:lang w:val="en"/>
                </w:rPr>
                <w:t>Gynaecological, thoracic or urological patients</w:t>
              </w:r>
            </w:hyperlink>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Offer VTE prophylaxis to patients undergoing gynaecological, thoracic or urological surgery who are assessed to be at increased risk of VTE.  Start mechanical VTE prophylaxis at admission.</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Choose any one of:</w:t>
            </w:r>
          </w:p>
          <w:p w:rsidR="006C50DE" w:rsidRPr="006C50DE" w:rsidRDefault="006C50DE" w:rsidP="006C50DE">
            <w:pPr>
              <w:numPr>
                <w:ilvl w:val="0"/>
                <w:numId w:val="21"/>
              </w:numPr>
              <w:rPr>
                <w:rFonts w:eastAsia="Times New Roman" w:cs="Times New Roman"/>
                <w:sz w:val="24"/>
                <w:szCs w:val="24"/>
                <w:lang w:val="en" w:eastAsia="en-GB"/>
              </w:rPr>
            </w:pPr>
            <w:r w:rsidRPr="006C50DE">
              <w:rPr>
                <w:rFonts w:eastAsia="Times New Roman" w:cs="Times New Roman"/>
                <w:sz w:val="24"/>
                <w:szCs w:val="24"/>
                <w:lang w:val="en" w:eastAsia="en-GB"/>
              </w:rPr>
              <w:t>Anti-embolism stockings (thigh or knee length)</w:t>
            </w:r>
          </w:p>
          <w:p w:rsidR="006C50DE" w:rsidRPr="006C50DE" w:rsidRDefault="006C50DE" w:rsidP="006C50DE">
            <w:pPr>
              <w:numPr>
                <w:ilvl w:val="0"/>
                <w:numId w:val="21"/>
              </w:numPr>
              <w:rPr>
                <w:rFonts w:eastAsia="Times New Roman" w:cs="Times New Roman"/>
                <w:sz w:val="24"/>
                <w:szCs w:val="24"/>
                <w:lang w:val="en" w:eastAsia="en-GB"/>
              </w:rPr>
            </w:pPr>
            <w:r w:rsidRPr="006C50DE">
              <w:rPr>
                <w:rFonts w:eastAsia="Times New Roman" w:cs="Times New Roman"/>
                <w:sz w:val="24"/>
                <w:szCs w:val="24"/>
                <w:lang w:val="en" w:eastAsia="en-GB"/>
              </w:rPr>
              <w:t>Foot impulse devices</w:t>
            </w:r>
          </w:p>
          <w:p w:rsidR="006C50DE" w:rsidRPr="006C50DE" w:rsidRDefault="006C50DE" w:rsidP="006C50DE">
            <w:pPr>
              <w:numPr>
                <w:ilvl w:val="0"/>
                <w:numId w:val="21"/>
              </w:numPr>
              <w:rPr>
                <w:rFonts w:eastAsia="Times New Roman" w:cs="Times New Roman"/>
                <w:sz w:val="24"/>
                <w:szCs w:val="24"/>
                <w:lang w:val="en" w:eastAsia="en-GB"/>
              </w:rPr>
            </w:pPr>
            <w:r w:rsidRPr="006C50DE">
              <w:rPr>
                <w:rFonts w:eastAsia="Times New Roman" w:cs="Times New Roman"/>
                <w:sz w:val="24"/>
                <w:szCs w:val="24"/>
                <w:lang w:val="en" w:eastAsia="en-GB"/>
              </w:rPr>
              <w:t>Intermittent pneumatic compression devices (thigh or knee length)</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Continue mechanical VTE prophylaxis until the patient no longer has significantly reduced mobility.</w:t>
            </w:r>
          </w:p>
          <w:p w:rsidR="006C50DE" w:rsidRPr="006C50DE" w:rsidRDefault="006C50DE" w:rsidP="006C50DE">
            <w:pPr>
              <w:pStyle w:val="NormalWeb"/>
              <w:spacing w:before="0" w:beforeAutospacing="0" w:after="0" w:afterAutospacing="0"/>
              <w:rPr>
                <w:rFonts w:asciiTheme="minorHAnsi" w:hAnsiTheme="minorHAnsi"/>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Add pharmacological VTE prophylaxis for patients who have a low risk of major bleeding, taking into account individual patient factors and according to clinical judgement.</w:t>
            </w:r>
          </w:p>
          <w:p w:rsidR="006C50DE" w:rsidRPr="006C50DE" w:rsidRDefault="006C50DE" w:rsidP="006C50DE">
            <w:pPr>
              <w:pStyle w:val="NormalWeb"/>
              <w:spacing w:before="0" w:beforeAutospacing="0" w:after="0" w:afterAutospacing="0"/>
              <w:rPr>
                <w:rFonts w:asciiTheme="minorHAnsi" w:hAnsiTheme="minorHAnsi"/>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Choose one of:</w:t>
            </w:r>
          </w:p>
          <w:p w:rsidR="006C50DE" w:rsidRPr="006C50DE" w:rsidRDefault="006C50DE" w:rsidP="006C50DE">
            <w:pPr>
              <w:numPr>
                <w:ilvl w:val="0"/>
                <w:numId w:val="22"/>
              </w:numPr>
              <w:rPr>
                <w:rFonts w:eastAsia="Times New Roman" w:cs="Times New Roman"/>
                <w:sz w:val="24"/>
                <w:szCs w:val="24"/>
                <w:lang w:val="en" w:eastAsia="en-GB"/>
              </w:rPr>
            </w:pPr>
            <w:r w:rsidRPr="006C50DE">
              <w:rPr>
                <w:rFonts w:eastAsia="Times New Roman" w:cs="Times New Roman"/>
                <w:sz w:val="24"/>
                <w:szCs w:val="24"/>
                <w:lang w:val="en" w:eastAsia="en-GB"/>
              </w:rPr>
              <w:t>LMWH</w:t>
            </w:r>
          </w:p>
          <w:p w:rsidR="006C50DE" w:rsidRPr="006C50DE" w:rsidRDefault="006C50DE" w:rsidP="006C50DE">
            <w:pPr>
              <w:numPr>
                <w:ilvl w:val="0"/>
                <w:numId w:val="22"/>
              </w:numPr>
              <w:rPr>
                <w:rFonts w:eastAsia="Times New Roman" w:cs="Times New Roman"/>
                <w:sz w:val="24"/>
                <w:szCs w:val="24"/>
                <w:lang w:val="en" w:eastAsia="en-GB"/>
              </w:rPr>
            </w:pPr>
            <w:r w:rsidRPr="006C50DE">
              <w:rPr>
                <w:rFonts w:eastAsia="Times New Roman" w:cs="Times New Roman"/>
                <w:sz w:val="24"/>
                <w:szCs w:val="24"/>
                <w:lang w:val="en" w:eastAsia="en-GB"/>
              </w:rPr>
              <w:t>UFH (for patients with renal failure)</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6C50DE" w:rsidRDefault="006C50DE" w:rsidP="00AB6552">
            <w:pPr>
              <w:rPr>
                <w:rFonts w:eastAsia="Times New Roman" w:cs="Times New Roman"/>
                <w:sz w:val="24"/>
                <w:szCs w:val="24"/>
                <w:lang w:val="en" w:eastAsia="en-GB"/>
              </w:rPr>
            </w:pPr>
            <w:r w:rsidRPr="006C50DE">
              <w:rPr>
                <w:rFonts w:eastAsia="Times New Roman" w:cs="Times New Roman"/>
                <w:sz w:val="24"/>
                <w:szCs w:val="24"/>
                <w:lang w:val="en" w:eastAsia="en-GB"/>
              </w:rPr>
              <w:t>Continue pharmacological VTE prophylaxis until the patient no longer has significantly reduced mobility (generally 5–7 days).</w:t>
            </w:r>
          </w:p>
          <w:p w:rsidR="006C50DE" w:rsidRPr="006C50DE" w:rsidRDefault="006C50DE" w:rsidP="006C50DE">
            <w:pPr>
              <w:pStyle w:val="NormalWeb"/>
              <w:spacing w:before="0" w:beforeAutospacing="0" w:after="0" w:afterAutospacing="0"/>
              <w:rPr>
                <w:rFonts w:asciiTheme="minorHAnsi" w:hAnsiTheme="minorHAnsi" w:cs="Arial"/>
                <w:sz w:val="20"/>
                <w:lang w:val="en"/>
              </w:rPr>
            </w:pPr>
          </w:p>
          <w:p w:rsidR="006C50DE" w:rsidRPr="006C50DE" w:rsidRDefault="006C50DE" w:rsidP="00AB6552">
            <w:pPr>
              <w:pStyle w:val="NormalWeb"/>
              <w:spacing w:before="0" w:beforeAutospacing="0" w:after="0" w:afterAutospacing="0"/>
              <w:rPr>
                <w:rFonts w:asciiTheme="minorHAnsi" w:hAnsiTheme="minorHAnsi" w:cs="Arial"/>
                <w:sz w:val="20"/>
                <w:lang w:val="en"/>
              </w:rPr>
            </w:pPr>
            <w:r w:rsidRPr="006C50DE">
              <w:rPr>
                <w:rFonts w:asciiTheme="minorHAnsi" w:hAnsiTheme="minorHAnsi"/>
                <w:lang w:val="en"/>
              </w:rPr>
              <w:t>Extend pharmacological VTE prophylaxis to 28 days postoperatively for patients who have had major cancer surgery in the abdomen or pelvis.</w:t>
            </w:r>
          </w:p>
        </w:tc>
      </w:tr>
    </w:tbl>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0" w:afterAutospacing="0"/>
              <w:rPr>
                <w:rFonts w:asciiTheme="minorHAnsi" w:hAnsiTheme="minorHAnsi" w:cs="Arial"/>
                <w:b/>
                <w:sz w:val="28"/>
                <w:lang w:val="en"/>
              </w:rPr>
            </w:pPr>
            <w:r w:rsidRPr="006C50DE">
              <w:rPr>
                <w:rFonts w:asciiTheme="minorHAnsi" w:hAnsiTheme="minorHAnsi" w:cs="Arial"/>
                <w:b/>
                <w:sz w:val="28"/>
                <w:lang w:val="en"/>
              </w:rPr>
              <w:t>Neurological</w:t>
            </w:r>
          </w:p>
          <w:p w:rsidR="006C50DE" w:rsidRPr="001564E9" w:rsidRDefault="006C50DE" w:rsidP="006C50DE">
            <w:pPr>
              <w:pStyle w:val="NormalWeb"/>
              <w:spacing w:before="0" w:beforeAutospacing="0" w:after="0" w:afterAutospacing="0"/>
              <w:rPr>
                <w:rFonts w:asciiTheme="minorHAnsi" w:hAnsiTheme="minorHAnsi"/>
                <w:sz w:val="16"/>
                <w:lang w:val="en"/>
              </w:rPr>
            </w:pPr>
          </w:p>
          <w:p w:rsidR="006C50DE"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Offer VTE prophylaxis to patients undergoing cranial or spinal surgery who are assessed to be at increased risk of VTE.</w:t>
            </w:r>
          </w:p>
          <w:p w:rsidR="006C50DE" w:rsidRPr="001564E9" w:rsidRDefault="006C50DE" w:rsidP="00AB6552">
            <w:pPr>
              <w:pStyle w:val="NormalWeb"/>
              <w:spacing w:before="0" w:beforeAutospacing="0" w:after="0" w:afterAutospacing="0"/>
              <w:rPr>
                <w:rFonts w:asciiTheme="minorHAnsi" w:hAnsiTheme="minorHAnsi"/>
                <w:sz w:val="16"/>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Start mechanical VTE prophylaxis at admission.</w:t>
            </w:r>
          </w:p>
          <w:p w:rsidR="006C50DE" w:rsidRPr="001564E9" w:rsidRDefault="006C50DE" w:rsidP="00AB6552">
            <w:pPr>
              <w:pStyle w:val="NormalWeb"/>
              <w:spacing w:before="0" w:beforeAutospacing="0" w:after="0" w:afterAutospacing="0"/>
              <w:rPr>
                <w:rFonts w:asciiTheme="minorHAnsi" w:hAnsiTheme="minorHAnsi"/>
                <w:sz w:val="16"/>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any one of:</w:t>
            </w:r>
          </w:p>
          <w:p w:rsidR="006C50DE" w:rsidRPr="00C537A9" w:rsidRDefault="006C50DE" w:rsidP="006C50DE">
            <w:pPr>
              <w:numPr>
                <w:ilvl w:val="0"/>
                <w:numId w:val="13"/>
              </w:numPr>
              <w:rPr>
                <w:rFonts w:cs="Arial"/>
                <w:sz w:val="24"/>
                <w:szCs w:val="24"/>
                <w:lang w:val="en"/>
              </w:rPr>
            </w:pPr>
            <w:r w:rsidRPr="00C537A9">
              <w:rPr>
                <w:rFonts w:cs="Arial"/>
                <w:sz w:val="24"/>
                <w:szCs w:val="24"/>
                <w:lang w:val="en"/>
              </w:rPr>
              <w:t>Anti-embolism stockings (thigh or knee length)</w:t>
            </w:r>
          </w:p>
          <w:p w:rsidR="006C50DE" w:rsidRPr="00C537A9" w:rsidRDefault="006C50DE" w:rsidP="006C50DE">
            <w:pPr>
              <w:numPr>
                <w:ilvl w:val="0"/>
                <w:numId w:val="13"/>
              </w:numPr>
              <w:rPr>
                <w:rFonts w:cs="Arial"/>
                <w:sz w:val="24"/>
                <w:szCs w:val="24"/>
                <w:lang w:val="en"/>
              </w:rPr>
            </w:pPr>
            <w:r w:rsidRPr="00C537A9">
              <w:rPr>
                <w:rFonts w:cs="Arial"/>
                <w:sz w:val="24"/>
                <w:szCs w:val="24"/>
                <w:lang w:val="en"/>
              </w:rPr>
              <w:t>Foot impulse devices</w:t>
            </w:r>
          </w:p>
          <w:p w:rsidR="006C50DE" w:rsidRPr="00C537A9" w:rsidRDefault="006C50DE" w:rsidP="006C50DE">
            <w:pPr>
              <w:numPr>
                <w:ilvl w:val="0"/>
                <w:numId w:val="13"/>
              </w:numPr>
              <w:rPr>
                <w:rFonts w:cs="Arial"/>
                <w:sz w:val="24"/>
                <w:szCs w:val="24"/>
                <w:lang w:val="en"/>
              </w:rPr>
            </w:pPr>
            <w:r w:rsidRPr="00C537A9">
              <w:rPr>
                <w:rFonts w:cs="Arial"/>
                <w:sz w:val="24"/>
                <w:szCs w:val="24"/>
                <w:lang w:val="en"/>
              </w:rPr>
              <w:t>Intermittent pneumatic compression devices (thigh or knee length)</w:t>
            </w:r>
          </w:p>
          <w:p w:rsidR="006C50DE" w:rsidRPr="001564E9" w:rsidRDefault="006C50DE" w:rsidP="00AB6552">
            <w:pPr>
              <w:pStyle w:val="NormalWeb"/>
              <w:spacing w:before="0" w:beforeAutospacing="0" w:after="0" w:afterAutospacing="0"/>
              <w:rPr>
                <w:rFonts w:asciiTheme="minorHAnsi" w:hAnsiTheme="minorHAnsi"/>
                <w:sz w:val="16"/>
                <w:lang w:val="en"/>
              </w:rPr>
            </w:pPr>
          </w:p>
          <w:p w:rsidR="006C50DE" w:rsidRDefault="006C50DE" w:rsidP="00AB6552">
            <w:pPr>
              <w:pStyle w:val="NormalWeb"/>
              <w:spacing w:before="0" w:beforeAutospacing="0" w:after="0" w:afterAutospacing="0"/>
              <w:rPr>
                <w:rFonts w:asciiTheme="minorHAnsi" w:hAnsiTheme="minorHAnsi" w:cs="Arial"/>
                <w:lang w:val="en"/>
              </w:rPr>
            </w:pPr>
            <w:r w:rsidRPr="006C50DE">
              <w:rPr>
                <w:rFonts w:asciiTheme="minorHAnsi" w:hAnsiTheme="minorHAnsi"/>
                <w:sz w:val="20"/>
                <w:lang w:val="en"/>
              </w:rPr>
              <w:t>C</w:t>
            </w:r>
            <w:r w:rsidRPr="00C537A9">
              <w:rPr>
                <w:rFonts w:asciiTheme="minorHAnsi" w:hAnsiTheme="minorHAnsi" w:cs="Arial"/>
                <w:lang w:val="en"/>
              </w:rPr>
              <w:t>ontinue mechanical VTE prophylaxis until the patient no longer has significantly reduced mobility.</w:t>
            </w:r>
          </w:p>
          <w:p w:rsidR="006C50DE" w:rsidRPr="006C50DE" w:rsidRDefault="006C50DE" w:rsidP="00AB6552">
            <w:pPr>
              <w:pStyle w:val="NormalWeb"/>
              <w:spacing w:before="0" w:beforeAutospacing="0" w:after="0" w:afterAutospacing="0"/>
              <w:rPr>
                <w:rFonts w:asciiTheme="minorHAnsi" w:hAnsiTheme="minorHAnsi"/>
                <w:sz w:val="20"/>
                <w:lang w:val="en"/>
              </w:rPr>
            </w:pPr>
          </w:p>
          <w:p w:rsidR="006C50DE" w:rsidRDefault="006C50DE" w:rsidP="00AB6552">
            <w:pPr>
              <w:pStyle w:val="NormalWeb"/>
              <w:spacing w:before="0" w:beforeAutospacing="0" w:after="0" w:afterAutospacing="0"/>
              <w:rPr>
                <w:rFonts w:asciiTheme="minorHAnsi" w:hAnsiTheme="minorHAnsi" w:cs="Arial"/>
                <w:lang w:val="en"/>
              </w:rPr>
            </w:pPr>
            <w:r w:rsidRPr="006C50DE">
              <w:rPr>
                <w:rFonts w:asciiTheme="minorHAnsi" w:hAnsiTheme="minorHAnsi"/>
                <w:sz w:val="20"/>
                <w:lang w:val="en"/>
              </w:rPr>
              <w:t>A</w:t>
            </w:r>
            <w:r w:rsidRPr="00C537A9">
              <w:rPr>
                <w:rFonts w:asciiTheme="minorHAnsi" w:hAnsiTheme="minorHAnsi" w:cs="Arial"/>
                <w:lang w:val="en"/>
              </w:rPr>
              <w:t>dd pharmacological VTE prophylaxis for patients who have a low risk of major bleeding, taking into account individual patient factors and according to clinical judgement.</w:t>
            </w:r>
          </w:p>
          <w:p w:rsidR="006C50DE" w:rsidRPr="006C50DE" w:rsidRDefault="006C50DE" w:rsidP="00AB6552">
            <w:pPr>
              <w:pStyle w:val="NormalWeb"/>
              <w:spacing w:before="0" w:beforeAutospacing="0" w:after="0" w:afterAutospacing="0"/>
              <w:rPr>
                <w:rFonts w:asciiTheme="minorHAnsi" w:hAnsiTheme="minorHAnsi"/>
                <w:sz w:val="20"/>
                <w:lang w:val="en"/>
              </w:rPr>
            </w:pPr>
          </w:p>
          <w:p w:rsidR="006C50DE" w:rsidRPr="00C537A9"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Choose one of:</w:t>
            </w:r>
          </w:p>
          <w:p w:rsidR="006C50DE" w:rsidRPr="00C537A9" w:rsidRDefault="006C50DE" w:rsidP="006C50DE">
            <w:pPr>
              <w:numPr>
                <w:ilvl w:val="0"/>
                <w:numId w:val="14"/>
              </w:numPr>
              <w:rPr>
                <w:rFonts w:cs="Arial"/>
                <w:sz w:val="24"/>
                <w:szCs w:val="24"/>
                <w:lang w:val="en"/>
              </w:rPr>
            </w:pPr>
            <w:r w:rsidRPr="00C537A9">
              <w:rPr>
                <w:rFonts w:cs="Arial"/>
                <w:sz w:val="24"/>
                <w:szCs w:val="24"/>
                <w:lang w:val="en"/>
              </w:rPr>
              <w:t>LMWH</w:t>
            </w:r>
          </w:p>
          <w:p w:rsidR="006C50DE" w:rsidRPr="00C537A9" w:rsidRDefault="006C50DE" w:rsidP="006C50DE">
            <w:pPr>
              <w:numPr>
                <w:ilvl w:val="0"/>
                <w:numId w:val="14"/>
              </w:numPr>
              <w:rPr>
                <w:rFonts w:cs="Arial"/>
                <w:sz w:val="24"/>
                <w:szCs w:val="24"/>
                <w:lang w:val="en"/>
              </w:rPr>
            </w:pPr>
            <w:r w:rsidRPr="00C537A9">
              <w:rPr>
                <w:rFonts w:cs="Arial"/>
                <w:sz w:val="24"/>
                <w:szCs w:val="24"/>
                <w:lang w:val="en"/>
              </w:rPr>
              <w:t>UFH (for patients with renal failure)</w:t>
            </w:r>
          </w:p>
          <w:p w:rsidR="006C50DE" w:rsidRPr="006C50DE" w:rsidRDefault="006C50DE" w:rsidP="00AB6552">
            <w:pPr>
              <w:pStyle w:val="NormalWeb"/>
              <w:spacing w:before="0" w:beforeAutospacing="0" w:after="0" w:afterAutospacing="0"/>
              <w:rPr>
                <w:rFonts w:asciiTheme="minorHAnsi" w:hAnsiTheme="minorHAnsi"/>
                <w:sz w:val="20"/>
                <w:lang w:val="en"/>
              </w:rPr>
            </w:pPr>
          </w:p>
          <w:p w:rsidR="006C50DE" w:rsidRDefault="006C50DE" w:rsidP="00AB6552">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Continue pharmacological VTE prophylaxis until the patient no longer has significantly reduced mobility (generally 5–7 days).</w:t>
            </w:r>
          </w:p>
          <w:p w:rsidR="006C50DE" w:rsidRPr="001564E9" w:rsidRDefault="006C50DE" w:rsidP="00AB6552">
            <w:pPr>
              <w:pStyle w:val="NormalWeb"/>
              <w:spacing w:before="0" w:beforeAutospacing="0" w:after="0" w:afterAutospacing="0"/>
              <w:rPr>
                <w:rFonts w:asciiTheme="minorHAnsi" w:hAnsiTheme="minorHAnsi" w:cs="Arial"/>
                <w:sz w:val="16"/>
                <w:lang w:val="en"/>
              </w:rPr>
            </w:pPr>
          </w:p>
          <w:p w:rsidR="006C50DE" w:rsidRPr="00C537A9" w:rsidRDefault="006C50DE" w:rsidP="006C50DE">
            <w:pPr>
              <w:pStyle w:val="NormalWeb"/>
              <w:spacing w:before="0" w:beforeAutospacing="0" w:after="0" w:afterAutospacing="0"/>
              <w:rPr>
                <w:rFonts w:asciiTheme="minorHAnsi" w:hAnsiTheme="minorHAnsi" w:cs="Arial"/>
                <w:lang w:val="en"/>
              </w:rPr>
            </w:pPr>
            <w:r w:rsidRPr="00C537A9">
              <w:rPr>
                <w:rFonts w:asciiTheme="minorHAnsi" w:hAnsiTheme="minorHAnsi" w:cs="Arial"/>
                <w:lang w:val="en"/>
              </w:rPr>
              <w:t>Do not offer pharmacological VTE prophylaxis to patients with ruptured cranial or spinal vascular malformations (for example, brain aneurysms) or acute traumatic or non-traumatic haemorrhage until the lesion has been secured or the condition is stable.</w:t>
            </w:r>
          </w:p>
        </w:tc>
      </w:tr>
    </w:tbl>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120" w:afterAutospacing="0"/>
              <w:rPr>
                <w:rFonts w:asciiTheme="minorHAnsi" w:hAnsiTheme="minorHAnsi" w:cs="Arial"/>
                <w:b/>
                <w:sz w:val="28"/>
                <w:lang w:val="en"/>
              </w:rPr>
            </w:pPr>
            <w:r w:rsidRPr="006C50DE">
              <w:rPr>
                <w:rFonts w:asciiTheme="minorHAnsi" w:hAnsiTheme="minorHAnsi" w:cs="Arial"/>
                <w:b/>
                <w:sz w:val="28"/>
                <w:lang w:val="en"/>
              </w:rPr>
              <w:t xml:space="preserve">Orthopaedic: elective hip replacement </w:t>
            </w:r>
          </w:p>
          <w:p w:rsidR="006C50DE" w:rsidRPr="006C50DE" w:rsidRDefault="006C50DE" w:rsidP="006C50DE">
            <w:pPr>
              <w:pStyle w:val="NormalWeb"/>
              <w:spacing w:before="0" w:beforeAutospacing="0" w:after="120" w:afterAutospacing="0"/>
              <w:rPr>
                <w:rFonts w:asciiTheme="minorHAnsi" w:hAnsiTheme="minorHAnsi" w:cs="Arial"/>
                <w:b/>
                <w:sz w:val="28"/>
                <w:lang w:val="en"/>
              </w:rPr>
            </w:pP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Offer combined VTE prophylaxis with mechanical and pharmacological methods to patients undergoing elective hip replacement surgery.</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Start mechanical VTE prophylaxis at admission. Choose any one of the following, based on individual patient factors:</w:t>
            </w:r>
          </w:p>
          <w:p w:rsidR="006C50DE" w:rsidRPr="00C537A9" w:rsidRDefault="006C50DE" w:rsidP="006C50DE">
            <w:pPr>
              <w:numPr>
                <w:ilvl w:val="0"/>
                <w:numId w:val="15"/>
              </w:numPr>
              <w:ind w:left="714" w:hanging="357"/>
              <w:rPr>
                <w:rFonts w:cs="Arial"/>
                <w:sz w:val="24"/>
                <w:szCs w:val="24"/>
                <w:lang w:val="en"/>
              </w:rPr>
            </w:pPr>
            <w:r w:rsidRPr="00C537A9">
              <w:rPr>
                <w:rFonts w:cs="Arial"/>
                <w:sz w:val="24"/>
                <w:szCs w:val="24"/>
                <w:lang w:val="en"/>
              </w:rPr>
              <w:t>Anti-embolism stockings (thigh or knee length), used with caution</w:t>
            </w:r>
          </w:p>
          <w:p w:rsidR="006C50DE" w:rsidRPr="00C537A9" w:rsidRDefault="006C50DE" w:rsidP="006C50DE">
            <w:pPr>
              <w:numPr>
                <w:ilvl w:val="0"/>
                <w:numId w:val="15"/>
              </w:numPr>
              <w:ind w:left="714" w:hanging="357"/>
              <w:rPr>
                <w:rFonts w:cs="Arial"/>
                <w:sz w:val="24"/>
                <w:szCs w:val="24"/>
                <w:lang w:val="en"/>
              </w:rPr>
            </w:pPr>
            <w:r w:rsidRPr="00C537A9">
              <w:rPr>
                <w:rFonts w:cs="Arial"/>
                <w:sz w:val="24"/>
                <w:szCs w:val="24"/>
                <w:lang w:val="en"/>
              </w:rPr>
              <w:t>Foot impulse devices</w:t>
            </w:r>
          </w:p>
          <w:p w:rsidR="006C50DE" w:rsidRPr="00C537A9" w:rsidRDefault="006C50DE" w:rsidP="006C50DE">
            <w:pPr>
              <w:numPr>
                <w:ilvl w:val="0"/>
                <w:numId w:val="15"/>
              </w:numPr>
              <w:spacing w:after="120"/>
              <w:rPr>
                <w:rFonts w:cs="Arial"/>
                <w:sz w:val="24"/>
                <w:szCs w:val="24"/>
                <w:lang w:val="en"/>
              </w:rPr>
            </w:pPr>
            <w:r w:rsidRPr="00C537A9">
              <w:rPr>
                <w:rFonts w:cs="Arial"/>
                <w:sz w:val="24"/>
                <w:szCs w:val="24"/>
                <w:lang w:val="en"/>
              </w:rPr>
              <w:t>Intermittent pneumatic compression devices (thigh or knee length)</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Continue mechanical VTE prophylaxis until the patient no longer has significantly reduced mobility.</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Provided there are no contraindications, start pharmacological VTE prophylaxis after surgery. Choose any one of:</w:t>
            </w:r>
          </w:p>
          <w:p w:rsidR="006C50DE" w:rsidRPr="00C537A9" w:rsidRDefault="006C50DE" w:rsidP="006C50DE">
            <w:pPr>
              <w:numPr>
                <w:ilvl w:val="0"/>
                <w:numId w:val="16"/>
              </w:numPr>
              <w:ind w:left="714" w:hanging="357"/>
              <w:rPr>
                <w:rFonts w:cs="Arial"/>
                <w:sz w:val="24"/>
                <w:szCs w:val="24"/>
                <w:lang w:val="en"/>
              </w:rPr>
            </w:pPr>
            <w:r w:rsidRPr="00C537A9">
              <w:rPr>
                <w:rFonts w:cs="Arial"/>
                <w:sz w:val="24"/>
                <w:szCs w:val="24"/>
                <w:lang w:val="en"/>
              </w:rPr>
              <w:t>Dabigatran etexilate, starting 1–4 hours after surgery</w:t>
            </w:r>
          </w:p>
          <w:p w:rsidR="006C50DE" w:rsidRPr="00C537A9" w:rsidRDefault="006C50DE" w:rsidP="006C50DE">
            <w:pPr>
              <w:numPr>
                <w:ilvl w:val="0"/>
                <w:numId w:val="16"/>
              </w:numPr>
              <w:ind w:left="714" w:hanging="357"/>
              <w:rPr>
                <w:rFonts w:cs="Arial"/>
                <w:sz w:val="24"/>
                <w:szCs w:val="24"/>
                <w:lang w:val="en"/>
              </w:rPr>
            </w:pPr>
            <w:r w:rsidRPr="00C537A9">
              <w:rPr>
                <w:rFonts w:cs="Arial"/>
                <w:sz w:val="24"/>
                <w:szCs w:val="24"/>
                <w:lang w:val="en"/>
              </w:rPr>
              <w:t>Fondaparinux sodium, starting 6 hours after surgical closure provided haemostasis has been established</w:t>
            </w:r>
          </w:p>
          <w:p w:rsidR="006C50DE" w:rsidRPr="00C537A9" w:rsidRDefault="006C50DE" w:rsidP="006C50DE">
            <w:pPr>
              <w:numPr>
                <w:ilvl w:val="0"/>
                <w:numId w:val="16"/>
              </w:numPr>
              <w:ind w:left="714" w:hanging="357"/>
              <w:rPr>
                <w:rFonts w:cs="Arial"/>
                <w:sz w:val="24"/>
                <w:szCs w:val="24"/>
                <w:lang w:val="en"/>
              </w:rPr>
            </w:pPr>
            <w:r w:rsidRPr="00C537A9">
              <w:rPr>
                <w:rFonts w:cs="Arial"/>
                <w:sz w:val="24"/>
                <w:szCs w:val="24"/>
                <w:lang w:val="en"/>
              </w:rPr>
              <w:t>LMWH, starting 6–12 hours after surgery</w:t>
            </w:r>
          </w:p>
          <w:p w:rsidR="006C50DE" w:rsidRPr="00C537A9" w:rsidRDefault="006C50DE" w:rsidP="006C50DE">
            <w:pPr>
              <w:numPr>
                <w:ilvl w:val="0"/>
                <w:numId w:val="16"/>
              </w:numPr>
              <w:ind w:left="714" w:hanging="357"/>
              <w:rPr>
                <w:rFonts w:cs="Arial"/>
                <w:sz w:val="24"/>
                <w:szCs w:val="24"/>
                <w:lang w:val="en"/>
              </w:rPr>
            </w:pPr>
            <w:r w:rsidRPr="00C537A9">
              <w:rPr>
                <w:rFonts w:cs="Arial"/>
                <w:sz w:val="24"/>
                <w:szCs w:val="24"/>
                <w:lang w:val="en"/>
              </w:rPr>
              <w:t>Rivaroxaban, starting 6–10 hours after surgery</w:t>
            </w:r>
          </w:p>
          <w:p w:rsidR="006C50DE" w:rsidRPr="00C537A9" w:rsidRDefault="006C50DE" w:rsidP="006C50DE">
            <w:pPr>
              <w:numPr>
                <w:ilvl w:val="0"/>
                <w:numId w:val="16"/>
              </w:numPr>
              <w:ind w:left="714" w:hanging="357"/>
              <w:rPr>
                <w:rFonts w:cs="Arial"/>
                <w:sz w:val="24"/>
                <w:szCs w:val="24"/>
                <w:lang w:val="en"/>
              </w:rPr>
            </w:pPr>
            <w:r w:rsidRPr="00C537A9">
              <w:rPr>
                <w:rFonts w:cs="Arial"/>
                <w:sz w:val="24"/>
                <w:szCs w:val="24"/>
                <w:lang w:val="en"/>
              </w:rPr>
              <w:t>UFH (for patients with renal failure), starting 6–12 hours after surgery</w:t>
            </w:r>
          </w:p>
          <w:p w:rsidR="006C50DE" w:rsidRPr="00C537A9" w:rsidRDefault="006C50DE" w:rsidP="006C50DE">
            <w:pPr>
              <w:numPr>
                <w:ilvl w:val="0"/>
                <w:numId w:val="16"/>
              </w:numPr>
              <w:spacing w:after="120"/>
              <w:rPr>
                <w:rFonts w:cs="Arial"/>
                <w:sz w:val="24"/>
                <w:szCs w:val="24"/>
                <w:lang w:val="en"/>
              </w:rPr>
            </w:pPr>
            <w:r w:rsidRPr="00C537A9">
              <w:rPr>
                <w:rFonts w:cs="Arial"/>
                <w:sz w:val="24"/>
                <w:szCs w:val="24"/>
                <w:lang w:val="en"/>
              </w:rPr>
              <w:t>Apixaban, starting 12-24 hours after surgery</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Continue pharmacological VTE prophylaxis for 28–35 days, according to the summary of product characteristics for t</w:t>
            </w:r>
            <w:r>
              <w:rPr>
                <w:rFonts w:asciiTheme="minorHAnsi" w:hAnsiTheme="minorHAnsi" w:cs="Arial"/>
                <w:lang w:val="en"/>
              </w:rPr>
              <w:t>he individual agent being used.</w:t>
            </w:r>
          </w:p>
        </w:tc>
      </w:tr>
    </w:tbl>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0" w:afterAutospacing="0"/>
              <w:rPr>
                <w:rFonts w:asciiTheme="minorHAnsi" w:hAnsiTheme="minorHAnsi" w:cs="Arial"/>
                <w:b/>
                <w:sz w:val="28"/>
                <w:lang w:val="en"/>
              </w:rPr>
            </w:pPr>
            <w:r w:rsidRPr="006C50DE">
              <w:rPr>
                <w:rFonts w:asciiTheme="minorHAnsi" w:hAnsiTheme="minorHAnsi" w:cs="Arial"/>
                <w:b/>
                <w:sz w:val="28"/>
                <w:lang w:val="en"/>
              </w:rPr>
              <w:t xml:space="preserve">Orthopaedic: </w:t>
            </w:r>
            <w:hyperlink r:id="rId38" w:tooltip="Elective knee replacement" w:history="1">
              <w:r w:rsidRPr="006C50DE">
                <w:rPr>
                  <w:rFonts w:asciiTheme="minorHAnsi" w:hAnsiTheme="minorHAnsi" w:cs="Arial"/>
                  <w:b/>
                  <w:sz w:val="28"/>
                  <w:lang w:val="en"/>
                </w:rPr>
                <w:t>elective knee replacement</w:t>
              </w:r>
            </w:hyperlink>
            <w:r w:rsidRPr="006C50DE">
              <w:rPr>
                <w:rFonts w:asciiTheme="minorHAnsi" w:hAnsiTheme="minorHAnsi" w:cs="Arial"/>
                <w:b/>
                <w:sz w:val="28"/>
                <w:lang w:val="en"/>
              </w:rPr>
              <w:t xml:space="preserve"> </w:t>
            </w:r>
          </w:p>
          <w:p w:rsidR="006C50DE" w:rsidRDefault="006C50DE" w:rsidP="006C50DE">
            <w:pPr>
              <w:rPr>
                <w:rFonts w:eastAsia="Times New Roman" w:cs="Times New Roman"/>
                <w:sz w:val="24"/>
                <w:szCs w:val="24"/>
                <w:lang w:val="en" w:eastAsia="en-GB"/>
              </w:rPr>
            </w:pP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Offer combined VTE prophylaxis with mechanical and pharmacological methods to patients undergoing elective knee replacement surgery.</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Start mechanical VTE prophylaxis at admission. Choose any one of the following, based on individual patient factors:</w:t>
            </w:r>
          </w:p>
          <w:p w:rsidR="006C50DE" w:rsidRPr="00C537A9" w:rsidRDefault="006C50DE" w:rsidP="006C50DE">
            <w:pPr>
              <w:numPr>
                <w:ilvl w:val="0"/>
                <w:numId w:val="23"/>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Anti-embolism stockings (thigh or knee length), used with caution</w:t>
            </w:r>
          </w:p>
          <w:p w:rsidR="006C50DE" w:rsidRPr="00C537A9" w:rsidRDefault="006C50DE" w:rsidP="006C50DE">
            <w:pPr>
              <w:numPr>
                <w:ilvl w:val="0"/>
                <w:numId w:val="23"/>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Foot impulse devices</w:t>
            </w:r>
          </w:p>
          <w:p w:rsidR="006C50DE" w:rsidRPr="00C537A9" w:rsidRDefault="006C50DE" w:rsidP="006C50DE">
            <w:pPr>
              <w:numPr>
                <w:ilvl w:val="0"/>
                <w:numId w:val="23"/>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Intermittent pneumatic compression devices (thigh or knee length)</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Continue mechanical VTE prophylaxis until the patient no longer has significantly reduced mobility.</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Provided there are no contraindications, start pharmacological VTE prophylaxis after surgery. Choose any one of:</w:t>
            </w:r>
          </w:p>
          <w:p w:rsidR="006C50DE" w:rsidRPr="00C537A9" w:rsidRDefault="006C50DE" w:rsidP="006C50DE">
            <w:pPr>
              <w:numPr>
                <w:ilvl w:val="0"/>
                <w:numId w:val="24"/>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Dabigatran etexilate, starting 1–4 hours after surgery</w:t>
            </w:r>
          </w:p>
          <w:p w:rsidR="006C50DE" w:rsidRPr="00C537A9" w:rsidRDefault="006C50DE" w:rsidP="006C50DE">
            <w:pPr>
              <w:numPr>
                <w:ilvl w:val="0"/>
                <w:numId w:val="24"/>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Fondaparinux sodium, starting 6 hours after surgical closure provided haemostasis has been established</w:t>
            </w:r>
          </w:p>
          <w:p w:rsidR="006C50DE" w:rsidRPr="00C537A9" w:rsidRDefault="006C50DE" w:rsidP="006C50DE">
            <w:pPr>
              <w:numPr>
                <w:ilvl w:val="0"/>
                <w:numId w:val="24"/>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LMWH, starting 6–12 hours after surgery</w:t>
            </w:r>
          </w:p>
          <w:p w:rsidR="006C50DE" w:rsidRPr="00C537A9" w:rsidRDefault="006C50DE" w:rsidP="006C50DE">
            <w:pPr>
              <w:numPr>
                <w:ilvl w:val="0"/>
                <w:numId w:val="24"/>
              </w:numPr>
              <w:ind w:left="714" w:hanging="357"/>
              <w:rPr>
                <w:rFonts w:eastAsia="Times New Roman" w:cs="Times New Roman"/>
                <w:sz w:val="24"/>
                <w:szCs w:val="24"/>
                <w:lang w:val="en" w:eastAsia="en-GB"/>
              </w:rPr>
            </w:pPr>
            <w:r w:rsidRPr="00C537A9">
              <w:rPr>
                <w:rFonts w:eastAsia="Times New Roman" w:cs="Times New Roman"/>
                <w:sz w:val="24"/>
                <w:szCs w:val="24"/>
                <w:lang w:val="en" w:eastAsia="en-GB"/>
              </w:rPr>
              <w:t>Rivaroxaban, starting 6–10 hours after surgery</w:t>
            </w:r>
          </w:p>
          <w:p w:rsidR="006C50DE" w:rsidRPr="00C537A9" w:rsidRDefault="006C50DE" w:rsidP="006C50DE">
            <w:pPr>
              <w:numPr>
                <w:ilvl w:val="0"/>
                <w:numId w:val="24"/>
              </w:numPr>
              <w:spacing w:after="120"/>
              <w:rPr>
                <w:rFonts w:cs="Arial"/>
                <w:lang w:val="en"/>
              </w:rPr>
            </w:pPr>
            <w:r w:rsidRPr="00C537A9">
              <w:rPr>
                <w:rFonts w:eastAsia="Times New Roman" w:cs="Times New Roman"/>
                <w:sz w:val="24"/>
                <w:szCs w:val="24"/>
                <w:lang w:val="en" w:eastAsia="en-GB"/>
              </w:rPr>
              <w:t>Apixaban, starting 12-24 hours after surgery</w:t>
            </w:r>
          </w:p>
        </w:tc>
      </w:tr>
    </w:tbl>
    <w:p w:rsidR="006C50DE" w:rsidRDefault="006C50DE">
      <w:r>
        <w:br w:type="page"/>
      </w:r>
    </w:p>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Default="006C50DE" w:rsidP="006C50DE">
            <w:pPr>
              <w:pStyle w:val="NormalWeb"/>
              <w:spacing w:before="0" w:beforeAutospacing="0" w:after="120" w:afterAutospacing="0"/>
              <w:rPr>
                <w:rFonts w:asciiTheme="minorHAnsi" w:hAnsiTheme="minorHAnsi" w:cs="Arial"/>
                <w:b/>
                <w:sz w:val="28"/>
                <w:lang w:val="en"/>
              </w:rPr>
            </w:pPr>
            <w:r w:rsidRPr="006C50DE">
              <w:rPr>
                <w:rFonts w:asciiTheme="minorHAnsi" w:hAnsiTheme="minorHAnsi" w:cs="Arial"/>
                <w:b/>
                <w:sz w:val="28"/>
                <w:lang w:val="en"/>
              </w:rPr>
              <w:t xml:space="preserve">Orthopaedic: </w:t>
            </w:r>
            <w:hyperlink r:id="rId39" w:history="1">
              <w:r w:rsidRPr="006C50DE">
                <w:rPr>
                  <w:rFonts w:asciiTheme="minorHAnsi" w:hAnsiTheme="minorHAnsi" w:cs="Arial"/>
                  <w:b/>
                  <w:sz w:val="28"/>
                  <w:lang w:val="en"/>
                </w:rPr>
                <w:t>hip fracture surgery</w:t>
              </w:r>
            </w:hyperlink>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Offer combined VTE prophylaxis with mechanical and pharmacological methods to patients undergoing hip fracture surgery.</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Start mechanical VTE prophylaxis at admission. Choose any one of the following, based on individual patient factors:</w:t>
            </w:r>
          </w:p>
          <w:p w:rsidR="006C50DE" w:rsidRPr="00C537A9" w:rsidRDefault="006C50DE" w:rsidP="006C50DE">
            <w:pPr>
              <w:numPr>
                <w:ilvl w:val="0"/>
                <w:numId w:val="25"/>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Anti-embolism stockings (thigh or knee length), used with caution</w:t>
            </w:r>
          </w:p>
          <w:p w:rsidR="006C50DE" w:rsidRPr="00C537A9" w:rsidRDefault="006C50DE" w:rsidP="006C50DE">
            <w:pPr>
              <w:numPr>
                <w:ilvl w:val="0"/>
                <w:numId w:val="25"/>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Foot impulse devices</w:t>
            </w:r>
          </w:p>
          <w:p w:rsidR="006C50DE" w:rsidRPr="00C537A9" w:rsidRDefault="006C50DE" w:rsidP="006C50DE">
            <w:pPr>
              <w:numPr>
                <w:ilvl w:val="0"/>
                <w:numId w:val="25"/>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Intermittent pneumatic compression devices (thigh or knee length)</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Continue mechanical VTE prophylaxis until the patient no longer has significantly reduced mobility.</w:t>
            </w:r>
          </w:p>
          <w:p w:rsidR="006C50DE" w:rsidRPr="00C537A9"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Provided there are no contraindications, add pharmacological VTE prophylaxis. Choose any one of:</w:t>
            </w:r>
          </w:p>
          <w:p w:rsidR="006C50DE" w:rsidRPr="00C537A9" w:rsidRDefault="006C50DE" w:rsidP="006C50DE">
            <w:pPr>
              <w:numPr>
                <w:ilvl w:val="0"/>
                <w:numId w:val="26"/>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Fondaparinux sodium, starting 6 hours after surgical closure, provided haemostasis has been established and there is no risk of bleeding</w:t>
            </w:r>
          </w:p>
          <w:p w:rsidR="006C50DE" w:rsidRPr="00C537A9" w:rsidRDefault="006C50DE" w:rsidP="006C50DE">
            <w:pPr>
              <w:numPr>
                <w:ilvl w:val="0"/>
                <w:numId w:val="26"/>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LMWH, starting at admission, stopping 12 hours before surgery and restarting 6–12 hours after surgery</w:t>
            </w:r>
          </w:p>
          <w:p w:rsidR="006C50DE" w:rsidRPr="00C537A9" w:rsidRDefault="006C50DE" w:rsidP="006C50DE">
            <w:pPr>
              <w:numPr>
                <w:ilvl w:val="0"/>
                <w:numId w:val="26"/>
              </w:numPr>
              <w:spacing w:after="120"/>
              <w:rPr>
                <w:rFonts w:eastAsia="Times New Roman" w:cs="Times New Roman"/>
                <w:sz w:val="24"/>
                <w:szCs w:val="24"/>
                <w:lang w:val="en" w:eastAsia="en-GB"/>
              </w:rPr>
            </w:pPr>
            <w:r w:rsidRPr="00C537A9">
              <w:rPr>
                <w:rFonts w:eastAsia="Times New Roman" w:cs="Times New Roman"/>
                <w:sz w:val="24"/>
                <w:szCs w:val="24"/>
                <w:lang w:val="en" w:eastAsia="en-GB"/>
              </w:rPr>
              <w:t>UFH (for patients with renal failure), starting at admission, stopping 12 hours before surgery and restarting 6–12 hours after surgery</w:t>
            </w:r>
          </w:p>
          <w:p w:rsidR="006C50DE" w:rsidRPr="006C50DE" w:rsidRDefault="006C50DE" w:rsidP="006C50DE">
            <w:pPr>
              <w:spacing w:after="120"/>
              <w:rPr>
                <w:rFonts w:eastAsia="Times New Roman" w:cs="Times New Roman"/>
                <w:sz w:val="24"/>
                <w:szCs w:val="24"/>
                <w:lang w:val="en" w:eastAsia="en-GB"/>
              </w:rPr>
            </w:pPr>
            <w:r w:rsidRPr="00C537A9">
              <w:rPr>
                <w:rFonts w:eastAsia="Times New Roman" w:cs="Times New Roman"/>
                <w:sz w:val="24"/>
                <w:szCs w:val="24"/>
                <w:lang w:val="en" w:eastAsia="en-GB"/>
              </w:rPr>
              <w:t>Continue pharmacological VTE prophylaxis for 28–35 days, according to the summary of product characteristics for the individual agent being used. Fondaparinux sodium is not recommended for use preoperatively for patients undergoing hip fracture surgery. If it has been used preoperatively it should be stopped 24 hours before surgery and restarted 6 hours after surgical closure, provided haemostasis has been established an</w:t>
            </w:r>
            <w:r>
              <w:rPr>
                <w:rFonts w:eastAsia="Times New Roman" w:cs="Times New Roman"/>
                <w:sz w:val="24"/>
                <w:szCs w:val="24"/>
                <w:lang w:val="en" w:eastAsia="en-GB"/>
              </w:rPr>
              <w:t>d there is no risk of bleeding.</w:t>
            </w:r>
          </w:p>
        </w:tc>
      </w:tr>
    </w:tbl>
    <w:p w:rsidR="001564E9" w:rsidRDefault="001564E9"/>
    <w:p w:rsidR="001564E9" w:rsidRDefault="001564E9">
      <w:r>
        <w:br w:type="page"/>
      </w:r>
    </w:p>
    <w:p w:rsidR="006C50DE" w:rsidRDefault="006C50DE"/>
    <w:tbl>
      <w:tblPr>
        <w:tblStyle w:val="TableGrid"/>
        <w:tblW w:w="0" w:type="auto"/>
        <w:tblLook w:val="04A0" w:firstRow="1" w:lastRow="0" w:firstColumn="1" w:lastColumn="0" w:noHBand="0" w:noVBand="1"/>
      </w:tblPr>
      <w:tblGrid>
        <w:gridCol w:w="10881"/>
      </w:tblGrid>
      <w:tr w:rsidR="006C50DE" w:rsidTr="006C50DE">
        <w:tc>
          <w:tcPr>
            <w:tcW w:w="10881" w:type="dxa"/>
          </w:tcPr>
          <w:p w:rsidR="006C50DE" w:rsidRPr="006C50DE" w:rsidRDefault="006C50DE" w:rsidP="006C50DE">
            <w:pPr>
              <w:pStyle w:val="NormalWeb"/>
              <w:spacing w:before="0" w:beforeAutospacing="0" w:after="120" w:afterAutospacing="0"/>
              <w:rPr>
                <w:rFonts w:asciiTheme="minorHAnsi" w:hAnsiTheme="minorHAnsi" w:cs="Arial"/>
                <w:b/>
                <w:lang w:val="en"/>
              </w:rPr>
            </w:pPr>
            <w:r w:rsidRPr="006C50DE">
              <w:rPr>
                <w:rFonts w:asciiTheme="minorHAnsi" w:hAnsiTheme="minorHAnsi" w:cs="Arial"/>
                <w:b/>
                <w:sz w:val="28"/>
                <w:lang w:val="en"/>
              </w:rPr>
              <w:t>Vascular</w:t>
            </w:r>
            <w:r w:rsidRPr="006C50DE">
              <w:rPr>
                <w:rFonts w:asciiTheme="minorHAnsi" w:hAnsiTheme="minorHAnsi" w:cs="Arial"/>
                <w:b/>
                <w:lang w:val="en"/>
              </w:rPr>
              <w:t xml:space="preserve"> </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Offer VTE prophylaxis to patients undergoing vascular surgery who are not having other anticoagulant therapy and are assessed to be at increased risk of VTE. If peripheral arterial disease is present, seek expert opinion before fitting anti-embolism stockings. Start mechanical VTE prophylaxis at admission.</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Choose any one of:</w:t>
            </w:r>
          </w:p>
          <w:p w:rsidR="006C50DE" w:rsidRPr="00C537A9" w:rsidRDefault="006C50DE" w:rsidP="006C50DE">
            <w:pPr>
              <w:numPr>
                <w:ilvl w:val="0"/>
                <w:numId w:val="17"/>
              </w:numPr>
              <w:spacing w:after="120"/>
              <w:rPr>
                <w:rFonts w:cs="Arial"/>
                <w:sz w:val="24"/>
                <w:szCs w:val="24"/>
                <w:lang w:val="en"/>
              </w:rPr>
            </w:pPr>
            <w:r w:rsidRPr="00C537A9">
              <w:rPr>
                <w:rFonts w:cs="Arial"/>
                <w:sz w:val="24"/>
                <w:szCs w:val="24"/>
                <w:lang w:val="en"/>
              </w:rPr>
              <w:t>Anti-embolism stockings (thigh or knee length)</w:t>
            </w:r>
          </w:p>
          <w:p w:rsidR="006C50DE" w:rsidRPr="00C537A9" w:rsidRDefault="006C50DE" w:rsidP="006C50DE">
            <w:pPr>
              <w:numPr>
                <w:ilvl w:val="0"/>
                <w:numId w:val="17"/>
              </w:numPr>
              <w:spacing w:after="120"/>
              <w:rPr>
                <w:rFonts w:cs="Arial"/>
                <w:sz w:val="24"/>
                <w:szCs w:val="24"/>
                <w:lang w:val="en"/>
              </w:rPr>
            </w:pPr>
            <w:r w:rsidRPr="00C537A9">
              <w:rPr>
                <w:rFonts w:cs="Arial"/>
                <w:sz w:val="24"/>
                <w:szCs w:val="24"/>
                <w:lang w:val="en"/>
              </w:rPr>
              <w:t>Foot impulse devices</w:t>
            </w:r>
          </w:p>
          <w:p w:rsidR="006C50DE" w:rsidRPr="00C537A9" w:rsidRDefault="006C50DE" w:rsidP="006C50DE">
            <w:pPr>
              <w:numPr>
                <w:ilvl w:val="0"/>
                <w:numId w:val="17"/>
              </w:numPr>
              <w:spacing w:after="120"/>
              <w:rPr>
                <w:rFonts w:cs="Arial"/>
                <w:sz w:val="24"/>
                <w:szCs w:val="24"/>
                <w:lang w:val="en"/>
              </w:rPr>
            </w:pPr>
            <w:r w:rsidRPr="00C537A9">
              <w:rPr>
                <w:rFonts w:cs="Arial"/>
                <w:sz w:val="24"/>
                <w:szCs w:val="24"/>
                <w:lang w:val="en"/>
              </w:rPr>
              <w:t>Intermittent pneumatic compression devices (thigh or knee length)</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Continue mechanical VTE prophylaxis until the patient no longer has significantly reduced mobility.</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Add pharmacological VTE prophylaxis for patients who have a low risk of major bleeding, taking into account individual patient factors and according to clinical judgement.</w:t>
            </w:r>
          </w:p>
          <w:p w:rsidR="006C50DE" w:rsidRPr="00C537A9"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Choose one of:</w:t>
            </w:r>
          </w:p>
          <w:p w:rsidR="006C50DE" w:rsidRPr="00C537A9" w:rsidRDefault="006C50DE" w:rsidP="006C50DE">
            <w:pPr>
              <w:numPr>
                <w:ilvl w:val="0"/>
                <w:numId w:val="18"/>
              </w:numPr>
              <w:spacing w:after="120"/>
              <w:rPr>
                <w:rFonts w:cs="Arial"/>
                <w:sz w:val="24"/>
                <w:szCs w:val="24"/>
                <w:lang w:val="en"/>
              </w:rPr>
            </w:pPr>
            <w:r w:rsidRPr="00C537A9">
              <w:rPr>
                <w:rFonts w:cs="Arial"/>
                <w:sz w:val="24"/>
                <w:szCs w:val="24"/>
                <w:lang w:val="en"/>
              </w:rPr>
              <w:t>LMWH</w:t>
            </w:r>
          </w:p>
          <w:p w:rsidR="006C50DE" w:rsidRPr="00C537A9" w:rsidRDefault="006C50DE" w:rsidP="006C50DE">
            <w:pPr>
              <w:numPr>
                <w:ilvl w:val="0"/>
                <w:numId w:val="18"/>
              </w:numPr>
              <w:spacing w:after="120"/>
              <w:rPr>
                <w:rFonts w:cs="Arial"/>
                <w:sz w:val="24"/>
                <w:szCs w:val="24"/>
                <w:lang w:val="en"/>
              </w:rPr>
            </w:pPr>
            <w:r w:rsidRPr="00C537A9">
              <w:rPr>
                <w:rFonts w:cs="Arial"/>
                <w:sz w:val="24"/>
                <w:szCs w:val="24"/>
                <w:lang w:val="en"/>
              </w:rPr>
              <w:t>UFH (for patients with renal failure)</w:t>
            </w:r>
          </w:p>
          <w:p w:rsidR="006C50DE" w:rsidRPr="006C50DE" w:rsidRDefault="006C50DE" w:rsidP="006C50DE">
            <w:pPr>
              <w:pStyle w:val="NormalWeb"/>
              <w:spacing w:before="0" w:beforeAutospacing="0" w:after="120" w:afterAutospacing="0"/>
              <w:rPr>
                <w:rFonts w:asciiTheme="minorHAnsi" w:hAnsiTheme="minorHAnsi" w:cs="Arial"/>
                <w:lang w:val="en"/>
              </w:rPr>
            </w:pPr>
            <w:r w:rsidRPr="00C537A9">
              <w:rPr>
                <w:rFonts w:asciiTheme="minorHAnsi" w:hAnsiTheme="minorHAnsi" w:cs="Arial"/>
                <w:lang w:val="en"/>
              </w:rPr>
              <w:t>Continue pharmacological VTE prophylaxis until the patient no longer has significantly reduced mobility (generally 5–7 days).</w:t>
            </w:r>
          </w:p>
        </w:tc>
      </w:tr>
    </w:tbl>
    <w:p w:rsidR="004636D2" w:rsidRDefault="004636D2">
      <w:pPr>
        <w:rPr>
          <w:rFonts w:eastAsiaTheme="majorEastAsia" w:cs="Arial"/>
          <w:b/>
          <w:bCs/>
          <w:iCs/>
          <w:sz w:val="24"/>
          <w:szCs w:val="24"/>
          <w:lang w:val="en"/>
        </w:rPr>
      </w:pPr>
      <w:r>
        <w:rPr>
          <w:rFonts w:cs="Arial"/>
          <w:i/>
          <w:sz w:val="24"/>
          <w:szCs w:val="24"/>
          <w:lang w:val="en"/>
        </w:rPr>
        <w:br w:type="page"/>
      </w:r>
    </w:p>
    <w:p w:rsidR="00DA22EA" w:rsidRPr="006C50DE" w:rsidRDefault="00DA22EA"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Recommendations (High Bleeding Risk)</w:t>
      </w:r>
    </w:p>
    <w:p w:rsidR="00AB6552" w:rsidRPr="00AB6552" w:rsidRDefault="00AB6552" w:rsidP="00AB6552">
      <w:pPr>
        <w:rPr>
          <w:lang w:val="en"/>
        </w:rPr>
      </w:pPr>
    </w:p>
    <w:p w:rsidR="00DA22EA" w:rsidRDefault="009E633B" w:rsidP="00C36DF8">
      <w:pPr>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62336" behindDoc="0" locked="0" layoutInCell="1" allowOverlap="1">
            <wp:simplePos x="0" y="0"/>
            <wp:positionH relativeFrom="column">
              <wp:posOffset>1270</wp:posOffset>
            </wp:positionH>
            <wp:positionV relativeFrom="paragraph">
              <wp:posOffset>54610</wp:posOffset>
            </wp:positionV>
            <wp:extent cx="1718945" cy="128968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_3_039_Thromboprophylaxis_10_t1_5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8945" cy="1289685"/>
                    </a:xfrm>
                    <a:prstGeom prst="rect">
                      <a:avLst/>
                    </a:prstGeom>
                  </pic:spPr>
                </pic:pic>
              </a:graphicData>
            </a:graphic>
            <wp14:sizeRelH relativeFrom="page">
              <wp14:pctWidth>0</wp14:pctWidth>
            </wp14:sizeRelH>
            <wp14:sizeRelV relativeFrom="page">
              <wp14:pctHeight>0</wp14:pctHeight>
            </wp14:sizeRelV>
          </wp:anchor>
        </w:drawing>
      </w:r>
      <w:r w:rsidR="00DA22EA" w:rsidRPr="00C537A9">
        <w:rPr>
          <w:rFonts w:eastAsia="Times New Roman" w:cs="Arial"/>
          <w:sz w:val="24"/>
          <w:szCs w:val="24"/>
          <w:lang w:val="en" w:eastAsia="en-GB"/>
        </w:rPr>
        <w:t>NICE recommends considering mechanical methods of prophylaxis in patients with increased bleeding risk.</w:t>
      </w:r>
    </w:p>
    <w:p w:rsidR="00AB6552" w:rsidRPr="00C537A9" w:rsidRDefault="00AB6552" w:rsidP="00C36DF8">
      <w:pPr>
        <w:rPr>
          <w:rFonts w:eastAsia="Times New Roman" w:cs="Arial"/>
          <w:sz w:val="24"/>
          <w:szCs w:val="24"/>
          <w:lang w:val="en" w:eastAsia="en-GB"/>
        </w:rPr>
      </w:pPr>
    </w:p>
    <w:p w:rsidR="00DA22EA" w:rsidRPr="00C537A9" w:rsidRDefault="00DA22EA" w:rsidP="00C36DF8">
      <w:pPr>
        <w:rPr>
          <w:rFonts w:eastAsia="Times New Roman" w:cs="Arial"/>
          <w:sz w:val="24"/>
          <w:szCs w:val="24"/>
          <w:lang w:val="en" w:eastAsia="en-GB"/>
        </w:rPr>
      </w:pPr>
      <w:r w:rsidRPr="00C537A9">
        <w:rPr>
          <w:rFonts w:eastAsia="Times New Roman" w:cs="Arial"/>
          <w:sz w:val="24"/>
          <w:szCs w:val="24"/>
          <w:lang w:val="en" w:eastAsia="en-GB"/>
        </w:rPr>
        <w:t>Choose any one of:</w:t>
      </w:r>
    </w:p>
    <w:p w:rsidR="00DA22EA" w:rsidRPr="00C537A9" w:rsidRDefault="00DA22EA" w:rsidP="006C50DE">
      <w:pPr>
        <w:numPr>
          <w:ilvl w:val="0"/>
          <w:numId w:val="35"/>
        </w:numPr>
        <w:rPr>
          <w:rFonts w:eastAsia="Times New Roman" w:cs="Arial"/>
          <w:sz w:val="24"/>
          <w:szCs w:val="24"/>
          <w:lang w:val="en" w:eastAsia="en-GB"/>
        </w:rPr>
      </w:pPr>
      <w:r w:rsidRPr="00C537A9">
        <w:rPr>
          <w:rFonts w:eastAsia="Times New Roman" w:cs="Arial"/>
          <w:sz w:val="24"/>
          <w:szCs w:val="24"/>
          <w:lang w:val="en" w:eastAsia="en-GB"/>
        </w:rPr>
        <w:t>Anti-embolism stockings (thigh or knee length)</w:t>
      </w:r>
    </w:p>
    <w:p w:rsidR="00DA22EA" w:rsidRPr="00C537A9" w:rsidRDefault="00DA22EA" w:rsidP="006C50DE">
      <w:pPr>
        <w:numPr>
          <w:ilvl w:val="0"/>
          <w:numId w:val="35"/>
        </w:numPr>
        <w:rPr>
          <w:rFonts w:eastAsia="Times New Roman" w:cs="Arial"/>
          <w:sz w:val="24"/>
          <w:szCs w:val="24"/>
          <w:lang w:val="en" w:eastAsia="en-GB"/>
        </w:rPr>
      </w:pPr>
      <w:r w:rsidRPr="00C537A9">
        <w:rPr>
          <w:rFonts w:eastAsia="Times New Roman" w:cs="Arial"/>
          <w:sz w:val="24"/>
          <w:szCs w:val="24"/>
          <w:lang w:val="en" w:eastAsia="en-GB"/>
        </w:rPr>
        <w:t>Foot impulse devices</w:t>
      </w:r>
    </w:p>
    <w:p w:rsidR="00DA22EA" w:rsidRPr="00C537A9" w:rsidRDefault="00DA22EA" w:rsidP="006C50DE">
      <w:pPr>
        <w:numPr>
          <w:ilvl w:val="0"/>
          <w:numId w:val="35"/>
        </w:numPr>
        <w:rPr>
          <w:rFonts w:eastAsia="Times New Roman" w:cs="Arial"/>
          <w:sz w:val="24"/>
          <w:szCs w:val="24"/>
          <w:lang w:val="en" w:eastAsia="en-GB"/>
        </w:rPr>
      </w:pPr>
      <w:r w:rsidRPr="00C537A9">
        <w:rPr>
          <w:rFonts w:eastAsia="Times New Roman" w:cs="Arial"/>
          <w:sz w:val="24"/>
          <w:szCs w:val="24"/>
          <w:lang w:val="en" w:eastAsia="en-GB"/>
        </w:rPr>
        <w:t>Intermittent pneumatic compression devices (thigh or knee length)</w:t>
      </w:r>
    </w:p>
    <w:p w:rsidR="00AB6552" w:rsidRDefault="00AB6552" w:rsidP="00C36DF8">
      <w:pPr>
        <w:pStyle w:val="Heading4"/>
        <w:spacing w:before="0"/>
        <w:rPr>
          <w:rFonts w:asciiTheme="minorHAnsi" w:hAnsiTheme="minorHAnsi" w:cs="Arial"/>
          <w:i w:val="0"/>
          <w:color w:val="auto"/>
          <w:sz w:val="24"/>
          <w:szCs w:val="24"/>
          <w:lang w:val="en"/>
        </w:rPr>
      </w:pPr>
    </w:p>
    <w:p w:rsidR="00AB6552" w:rsidRDefault="00AB6552" w:rsidP="00C36DF8">
      <w:pPr>
        <w:pStyle w:val="Heading4"/>
        <w:spacing w:before="0"/>
        <w:rPr>
          <w:rFonts w:asciiTheme="minorHAnsi" w:hAnsiTheme="minorHAnsi" w:cs="Arial"/>
          <w:i w:val="0"/>
          <w:color w:val="auto"/>
          <w:sz w:val="24"/>
          <w:szCs w:val="24"/>
          <w:lang w:val="en"/>
        </w:rPr>
      </w:pPr>
    </w:p>
    <w:p w:rsidR="00AB6552" w:rsidRDefault="00AB6552" w:rsidP="00C36DF8">
      <w:pPr>
        <w:pStyle w:val="Heading4"/>
        <w:spacing w:before="0"/>
        <w:rPr>
          <w:rFonts w:asciiTheme="minorHAnsi" w:hAnsiTheme="minorHAnsi" w:cs="Arial"/>
          <w:i w:val="0"/>
          <w:color w:val="auto"/>
          <w:sz w:val="24"/>
          <w:szCs w:val="24"/>
          <w:lang w:val="en"/>
        </w:rPr>
      </w:pPr>
    </w:p>
    <w:p w:rsidR="00AB6552" w:rsidRDefault="00AB6552">
      <w:pPr>
        <w:rPr>
          <w:rFonts w:eastAsiaTheme="majorEastAsia" w:cs="Arial"/>
          <w:b/>
          <w:bCs/>
          <w:iCs/>
          <w:sz w:val="24"/>
          <w:szCs w:val="24"/>
          <w:lang w:val="en"/>
        </w:rPr>
      </w:pPr>
      <w:r>
        <w:rPr>
          <w:rFonts w:cs="Arial"/>
          <w:i/>
          <w:sz w:val="24"/>
          <w:szCs w:val="24"/>
          <w:lang w:val="en"/>
        </w:rPr>
        <w:br w:type="page"/>
      </w:r>
    </w:p>
    <w:p w:rsidR="00DA22EA" w:rsidRPr="006C50DE" w:rsidRDefault="00DA22EA"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Audit of VTE Prevention</w:t>
      </w:r>
    </w:p>
    <w:p w:rsidR="00AB6552" w:rsidRPr="00AB6552" w:rsidRDefault="00AB6552" w:rsidP="00AB6552">
      <w:pPr>
        <w:rPr>
          <w:lang w:val="en"/>
        </w:rPr>
      </w:pPr>
    </w:p>
    <w:p w:rsidR="00DA22EA" w:rsidRPr="00C537A9" w:rsidRDefault="00AB6552" w:rsidP="00C36DF8">
      <w:pPr>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63360" behindDoc="0" locked="0" layoutInCell="1" allowOverlap="1" wp14:anchorId="156B0AAD" wp14:editId="46853C67">
            <wp:simplePos x="0" y="0"/>
            <wp:positionH relativeFrom="column">
              <wp:posOffset>3810</wp:posOffset>
            </wp:positionH>
            <wp:positionV relativeFrom="paragraph">
              <wp:posOffset>52705</wp:posOffset>
            </wp:positionV>
            <wp:extent cx="1355090" cy="101663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_high_compression_stocking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5090" cy="1016635"/>
                    </a:xfrm>
                    <a:prstGeom prst="rect">
                      <a:avLst/>
                    </a:prstGeom>
                  </pic:spPr>
                </pic:pic>
              </a:graphicData>
            </a:graphic>
            <wp14:sizeRelH relativeFrom="page">
              <wp14:pctWidth>0</wp14:pctWidth>
            </wp14:sizeRelH>
            <wp14:sizeRelV relativeFrom="page">
              <wp14:pctHeight>0</wp14:pctHeight>
            </wp14:sizeRelV>
          </wp:anchor>
        </w:drawing>
      </w:r>
      <w:r w:rsidR="00DA22EA" w:rsidRPr="00C537A9">
        <w:rPr>
          <w:rFonts w:eastAsia="Times New Roman" w:cs="Arial"/>
          <w:sz w:val="24"/>
          <w:szCs w:val="24"/>
          <w:lang w:val="en" w:eastAsia="en-GB"/>
        </w:rPr>
        <w:t>Auditing the VTE prevention pathway is an important aspect of improving the quality of patient care. The elements listed should be subject to audit.</w:t>
      </w:r>
    </w:p>
    <w:p w:rsidR="00DA22EA" w:rsidRPr="00C537A9" w:rsidRDefault="00DA22EA" w:rsidP="00C36DF8">
      <w:pPr>
        <w:rPr>
          <w:rFonts w:eastAsia="Times New Roman" w:cs="Arial"/>
          <w:sz w:val="24"/>
          <w:szCs w:val="24"/>
          <w:lang w:val="en" w:eastAsia="en-GB"/>
        </w:rPr>
      </w:pPr>
      <w:r w:rsidRPr="00C537A9">
        <w:rPr>
          <w:rFonts w:eastAsia="Times New Roman" w:cs="Arial"/>
          <w:sz w:val="24"/>
          <w:szCs w:val="24"/>
          <w:lang w:val="en" w:eastAsia="en-GB"/>
        </w:rPr>
        <w:t>In addition, all Trusts must undertake root cause analysis of each case of hospital-associated VTE.</w:t>
      </w: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DA22EA" w:rsidRDefault="00DA22EA" w:rsidP="00AB6552">
      <w:pPr>
        <w:spacing w:after="120"/>
        <w:rPr>
          <w:rFonts w:eastAsia="Times New Roman" w:cs="Arial"/>
          <w:sz w:val="24"/>
          <w:szCs w:val="24"/>
          <w:lang w:val="en" w:eastAsia="en-GB"/>
        </w:rPr>
      </w:pPr>
      <w:r w:rsidRPr="00C537A9">
        <w:rPr>
          <w:rFonts w:eastAsia="Times New Roman" w:cs="Arial"/>
          <w:sz w:val="24"/>
          <w:szCs w:val="24"/>
          <w:lang w:val="en" w:eastAsia="en-GB"/>
        </w:rPr>
        <w:t>NHS Trusts are expected to audit the following:</w:t>
      </w:r>
    </w:p>
    <w:p w:rsidR="00DA22EA" w:rsidRPr="00C537A9" w:rsidRDefault="00DA22EA" w:rsidP="006C50DE">
      <w:pPr>
        <w:numPr>
          <w:ilvl w:val="0"/>
          <w:numId w:val="33"/>
        </w:numPr>
        <w:tabs>
          <w:tab w:val="clear" w:pos="720"/>
        </w:tabs>
        <w:spacing w:after="120"/>
        <w:ind w:left="426" w:hanging="426"/>
        <w:rPr>
          <w:rFonts w:eastAsia="Times New Roman" w:cs="Arial"/>
          <w:sz w:val="24"/>
          <w:szCs w:val="24"/>
          <w:lang w:val="en" w:eastAsia="en-GB"/>
        </w:rPr>
      </w:pPr>
      <w:r w:rsidRPr="00C537A9">
        <w:rPr>
          <w:rFonts w:eastAsia="Times New Roman" w:cs="Arial"/>
          <w:sz w:val="24"/>
          <w:szCs w:val="24"/>
          <w:lang w:val="en" w:eastAsia="en-GB"/>
        </w:rPr>
        <w:t>Rates of mandatory risk assessment on admission and at 24 hours</w:t>
      </w:r>
    </w:p>
    <w:p w:rsidR="00DA22EA" w:rsidRPr="00C537A9" w:rsidRDefault="00DA22EA" w:rsidP="006C50DE">
      <w:pPr>
        <w:numPr>
          <w:ilvl w:val="0"/>
          <w:numId w:val="33"/>
        </w:numPr>
        <w:tabs>
          <w:tab w:val="clear" w:pos="720"/>
        </w:tabs>
        <w:spacing w:after="120"/>
        <w:ind w:left="426" w:hanging="426"/>
        <w:rPr>
          <w:rFonts w:eastAsia="Times New Roman" w:cs="Arial"/>
          <w:sz w:val="24"/>
          <w:szCs w:val="24"/>
          <w:lang w:val="en" w:eastAsia="en-GB"/>
        </w:rPr>
      </w:pPr>
      <w:r w:rsidRPr="00C537A9">
        <w:rPr>
          <w:rFonts w:eastAsia="Times New Roman" w:cs="Arial"/>
          <w:sz w:val="24"/>
          <w:szCs w:val="24"/>
          <w:lang w:val="en" w:eastAsia="en-GB"/>
        </w:rPr>
        <w:t>Appropriate thromboprophylaxis rates</w:t>
      </w:r>
    </w:p>
    <w:p w:rsidR="00DA22EA" w:rsidRPr="00C537A9" w:rsidRDefault="00DA22EA" w:rsidP="006C50DE">
      <w:pPr>
        <w:numPr>
          <w:ilvl w:val="0"/>
          <w:numId w:val="33"/>
        </w:numPr>
        <w:tabs>
          <w:tab w:val="clear" w:pos="720"/>
        </w:tabs>
        <w:spacing w:after="120"/>
        <w:ind w:left="426" w:hanging="426"/>
        <w:rPr>
          <w:rFonts w:eastAsia="Times New Roman" w:cs="Arial"/>
          <w:sz w:val="24"/>
          <w:szCs w:val="24"/>
          <w:lang w:val="en" w:eastAsia="en-GB"/>
        </w:rPr>
      </w:pPr>
      <w:r w:rsidRPr="00C537A9">
        <w:rPr>
          <w:rFonts w:eastAsia="Times New Roman" w:cs="Arial"/>
          <w:sz w:val="24"/>
          <w:szCs w:val="24"/>
          <w:lang w:val="en" w:eastAsia="en-GB"/>
        </w:rPr>
        <w:t>Appropriate measurement and monitoring of anti-embolism stockings</w:t>
      </w:r>
    </w:p>
    <w:p w:rsidR="00DA22EA" w:rsidRPr="00C537A9" w:rsidRDefault="00DA22EA" w:rsidP="006C50DE">
      <w:pPr>
        <w:numPr>
          <w:ilvl w:val="0"/>
          <w:numId w:val="33"/>
        </w:numPr>
        <w:tabs>
          <w:tab w:val="clear" w:pos="720"/>
        </w:tabs>
        <w:ind w:left="426" w:hanging="426"/>
        <w:rPr>
          <w:rFonts w:eastAsia="Times New Roman" w:cs="Arial"/>
          <w:sz w:val="24"/>
          <w:szCs w:val="24"/>
          <w:lang w:val="en" w:eastAsia="en-GB"/>
        </w:rPr>
      </w:pPr>
      <w:r w:rsidRPr="00C537A9">
        <w:rPr>
          <w:rFonts w:eastAsia="Times New Roman" w:cs="Arial"/>
          <w:sz w:val="24"/>
          <w:szCs w:val="24"/>
          <w:lang w:val="en" w:eastAsia="en-GB"/>
        </w:rPr>
        <w:t>Patient counselling rates on admission and discharge</w:t>
      </w:r>
    </w:p>
    <w:p w:rsidR="00AB6552" w:rsidRDefault="00AB6552">
      <w:pPr>
        <w:rPr>
          <w:rFonts w:eastAsiaTheme="majorEastAsia" w:cs="Arial"/>
          <w:bCs/>
          <w:iCs/>
          <w:sz w:val="24"/>
          <w:szCs w:val="24"/>
          <w:u w:val="single"/>
          <w:lang w:val="en"/>
        </w:rPr>
      </w:pPr>
      <w:r>
        <w:rPr>
          <w:rFonts w:cs="Arial"/>
          <w:b/>
          <w:i/>
          <w:sz w:val="24"/>
          <w:szCs w:val="24"/>
          <w:u w:val="single"/>
          <w:lang w:val="en"/>
        </w:rPr>
        <w:br w:type="page"/>
      </w:r>
    </w:p>
    <w:p w:rsidR="00DA22EA" w:rsidRPr="006C50DE" w:rsidRDefault="00DA22EA" w:rsidP="00C36DF8">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VTE Prevention in Primary Care</w:t>
      </w:r>
    </w:p>
    <w:p w:rsidR="009E633B" w:rsidRPr="00C537A9" w:rsidRDefault="009E633B" w:rsidP="00C36DF8">
      <w:pPr>
        <w:rPr>
          <w:sz w:val="24"/>
          <w:szCs w:val="24"/>
          <w:lang w:val="en"/>
        </w:rPr>
      </w:pPr>
    </w:p>
    <w:p w:rsidR="00AB6552" w:rsidRDefault="00AB6552" w:rsidP="00C36DF8">
      <w:pPr>
        <w:rPr>
          <w:rFonts w:eastAsia="Times New Roman" w:cs="Arial"/>
          <w:sz w:val="24"/>
          <w:szCs w:val="24"/>
          <w:lang w:val="en" w:eastAsia="en-GB"/>
        </w:rPr>
      </w:pPr>
      <w:r w:rsidRPr="00C537A9">
        <w:rPr>
          <w:rFonts w:eastAsia="Times New Roman" w:cs="Arial"/>
          <w:noProof/>
          <w:sz w:val="24"/>
          <w:szCs w:val="24"/>
          <w:lang w:eastAsia="en-GB"/>
        </w:rPr>
        <w:drawing>
          <wp:anchor distT="0" distB="0" distL="114300" distR="114300" simplePos="0" relativeHeight="251658240" behindDoc="0" locked="0" layoutInCell="1" allowOverlap="1" wp14:anchorId="262C4C09" wp14:editId="0C6DC8D1">
            <wp:simplePos x="0" y="0"/>
            <wp:positionH relativeFrom="column">
              <wp:posOffset>635</wp:posOffset>
            </wp:positionH>
            <wp:positionV relativeFrom="paragraph">
              <wp:posOffset>1905</wp:posOffset>
            </wp:positionV>
            <wp:extent cx="1868805" cy="129603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h_04_01_05_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8805" cy="1296035"/>
                    </a:xfrm>
                    <a:prstGeom prst="rect">
                      <a:avLst/>
                    </a:prstGeom>
                  </pic:spPr>
                </pic:pic>
              </a:graphicData>
            </a:graphic>
            <wp14:sizeRelH relativeFrom="page">
              <wp14:pctWidth>0</wp14:pctWidth>
            </wp14:sizeRelH>
            <wp14:sizeRelV relativeFrom="page">
              <wp14:pctHeight>0</wp14:pctHeight>
            </wp14:sizeRelV>
          </wp:anchor>
        </w:drawing>
      </w: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AB6552" w:rsidRDefault="00AB6552" w:rsidP="00C36DF8">
      <w:pPr>
        <w:rPr>
          <w:rFonts w:eastAsia="Times New Roman" w:cs="Arial"/>
          <w:sz w:val="24"/>
          <w:szCs w:val="24"/>
          <w:lang w:val="en" w:eastAsia="en-GB"/>
        </w:rPr>
      </w:pPr>
    </w:p>
    <w:p w:rsidR="00DA22EA" w:rsidRPr="00C537A9" w:rsidRDefault="00DA22EA" w:rsidP="00AB6552">
      <w:pPr>
        <w:rPr>
          <w:rFonts w:eastAsia="Times New Roman" w:cs="Arial"/>
          <w:sz w:val="24"/>
          <w:szCs w:val="24"/>
          <w:lang w:val="en" w:eastAsia="en-GB"/>
        </w:rPr>
      </w:pPr>
      <w:r w:rsidRPr="00C537A9">
        <w:rPr>
          <w:rFonts w:eastAsia="Times New Roman" w:cs="Arial"/>
          <w:sz w:val="24"/>
          <w:szCs w:val="24"/>
          <w:lang w:val="en" w:eastAsia="en-GB"/>
        </w:rPr>
        <w:t>Communication between secondary and primary care of a patient is fundamental to ensure VTE prevention.</w:t>
      </w:r>
    </w:p>
    <w:p w:rsidR="00AB6552" w:rsidRDefault="00AB6552" w:rsidP="00AB6552">
      <w:pPr>
        <w:rPr>
          <w:rFonts w:eastAsia="Times New Roman" w:cs="Arial"/>
          <w:sz w:val="24"/>
          <w:szCs w:val="24"/>
          <w:lang w:val="en" w:eastAsia="en-GB"/>
        </w:rPr>
      </w:pPr>
    </w:p>
    <w:p w:rsidR="00DA22EA" w:rsidRPr="00C537A9" w:rsidRDefault="00DA22EA" w:rsidP="00AB6552">
      <w:pPr>
        <w:spacing w:after="120"/>
        <w:rPr>
          <w:rFonts w:eastAsia="Times New Roman" w:cs="Arial"/>
          <w:sz w:val="24"/>
          <w:szCs w:val="24"/>
          <w:lang w:val="en" w:eastAsia="en-GB"/>
        </w:rPr>
      </w:pPr>
      <w:r w:rsidRPr="00C537A9">
        <w:rPr>
          <w:rFonts w:eastAsia="Times New Roman" w:cs="Arial"/>
          <w:sz w:val="24"/>
          <w:szCs w:val="24"/>
          <w:lang w:val="en" w:eastAsia="en-GB"/>
        </w:rPr>
        <w:t>Primary care clinicians have an important role to play in:</w:t>
      </w:r>
    </w:p>
    <w:p w:rsidR="00DA22EA" w:rsidRPr="00AB6552" w:rsidRDefault="00DA22EA" w:rsidP="006C50DE">
      <w:pPr>
        <w:pStyle w:val="ListParagraph"/>
        <w:numPr>
          <w:ilvl w:val="0"/>
          <w:numId w:val="34"/>
        </w:numPr>
        <w:spacing w:after="120"/>
        <w:contextualSpacing w:val="0"/>
        <w:rPr>
          <w:rFonts w:eastAsia="Times New Roman" w:cs="Arial"/>
          <w:sz w:val="24"/>
          <w:szCs w:val="24"/>
          <w:lang w:val="en" w:eastAsia="en-GB"/>
        </w:rPr>
      </w:pPr>
      <w:r w:rsidRPr="00AB6552">
        <w:rPr>
          <w:rFonts w:eastAsia="Times New Roman" w:cs="Arial"/>
          <w:sz w:val="24"/>
          <w:szCs w:val="24"/>
          <w:lang w:val="en" w:eastAsia="en-GB"/>
        </w:rPr>
        <w:t>Managing and supporting patients discharged on extended prophylaxis</w:t>
      </w:r>
    </w:p>
    <w:p w:rsidR="00DA22EA" w:rsidRPr="00AB6552" w:rsidRDefault="00DA22EA" w:rsidP="006C50DE">
      <w:pPr>
        <w:pStyle w:val="ListParagraph"/>
        <w:numPr>
          <w:ilvl w:val="0"/>
          <w:numId w:val="34"/>
        </w:numPr>
        <w:spacing w:after="120"/>
        <w:contextualSpacing w:val="0"/>
        <w:rPr>
          <w:rFonts w:eastAsia="Times New Roman" w:cs="Arial"/>
          <w:sz w:val="24"/>
          <w:szCs w:val="24"/>
          <w:lang w:val="en" w:eastAsia="en-GB"/>
        </w:rPr>
      </w:pPr>
      <w:r w:rsidRPr="00AB6552">
        <w:rPr>
          <w:rFonts w:eastAsia="Times New Roman" w:cs="Arial"/>
          <w:sz w:val="24"/>
          <w:szCs w:val="24"/>
          <w:lang w:val="en" w:eastAsia="en-GB"/>
        </w:rPr>
        <w:t>Some primary care clinicians may also:</w:t>
      </w:r>
    </w:p>
    <w:p w:rsidR="00DA22EA" w:rsidRPr="00AB6552" w:rsidRDefault="00DA22EA" w:rsidP="006C50DE">
      <w:pPr>
        <w:pStyle w:val="ListParagraph"/>
        <w:numPr>
          <w:ilvl w:val="0"/>
          <w:numId w:val="34"/>
        </w:numPr>
        <w:spacing w:after="120"/>
        <w:contextualSpacing w:val="0"/>
        <w:rPr>
          <w:rFonts w:eastAsia="Times New Roman" w:cs="Arial"/>
          <w:sz w:val="24"/>
          <w:szCs w:val="24"/>
          <w:lang w:val="en" w:eastAsia="en-GB"/>
        </w:rPr>
      </w:pPr>
      <w:r w:rsidRPr="00AB6552">
        <w:rPr>
          <w:rFonts w:eastAsia="Times New Roman" w:cs="Arial"/>
          <w:sz w:val="24"/>
          <w:szCs w:val="24"/>
          <w:lang w:val="en" w:eastAsia="en-GB"/>
        </w:rPr>
        <w:t>Undertake VTE risk assessment of patients ahead of an elective hospital admission</w:t>
      </w:r>
    </w:p>
    <w:p w:rsidR="00DA22EA" w:rsidRPr="00AB6552" w:rsidRDefault="00DA22EA" w:rsidP="006C50DE">
      <w:pPr>
        <w:pStyle w:val="ListParagraph"/>
        <w:numPr>
          <w:ilvl w:val="0"/>
          <w:numId w:val="34"/>
        </w:numPr>
        <w:rPr>
          <w:rFonts w:eastAsia="Times New Roman" w:cs="Arial"/>
          <w:sz w:val="24"/>
          <w:szCs w:val="24"/>
          <w:lang w:val="en" w:eastAsia="en-GB"/>
        </w:rPr>
      </w:pPr>
      <w:r w:rsidRPr="00AB6552">
        <w:rPr>
          <w:rFonts w:eastAsia="Times New Roman" w:cs="Arial"/>
          <w:sz w:val="24"/>
          <w:szCs w:val="24"/>
          <w:lang w:val="en" w:eastAsia="en-GB"/>
        </w:rPr>
        <w:t>Provide patients with information on the risks of VTE and preventative treatment prior to an elective hospital admission.</w:t>
      </w:r>
    </w:p>
    <w:p w:rsidR="00DA22EA" w:rsidRPr="00C537A9" w:rsidRDefault="00DA22EA" w:rsidP="00C36DF8">
      <w:pPr>
        <w:rPr>
          <w:rFonts w:eastAsiaTheme="majorEastAsia" w:cs="Arial"/>
          <w:b/>
          <w:bCs/>
          <w:sz w:val="24"/>
          <w:szCs w:val="24"/>
          <w:lang w:val="en"/>
        </w:rPr>
      </w:pPr>
      <w:r w:rsidRPr="00C537A9">
        <w:rPr>
          <w:rFonts w:cs="Arial"/>
          <w:sz w:val="24"/>
          <w:szCs w:val="24"/>
          <w:lang w:val="en"/>
        </w:rPr>
        <w:br w:type="page"/>
      </w:r>
    </w:p>
    <w:p w:rsidR="00DA22EA" w:rsidRPr="006C50DE" w:rsidRDefault="00DA22EA"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Case Study 1</w:t>
      </w:r>
    </w:p>
    <w:p w:rsidR="00C36DF8" w:rsidRPr="00C537A9" w:rsidRDefault="00C36DF8" w:rsidP="00C36DF8">
      <w:pPr>
        <w:rPr>
          <w:rFonts w:eastAsia="Times New Roman" w:cs="Arial"/>
          <w:sz w:val="24"/>
          <w:szCs w:val="24"/>
          <w:lang w:val="en" w:eastAsia="en-GB"/>
        </w:rPr>
      </w:pPr>
    </w:p>
    <w:p w:rsidR="00C36DF8" w:rsidRPr="00C537A9" w:rsidRDefault="00C537A9" w:rsidP="00C36DF8">
      <w:pPr>
        <w:rPr>
          <w:rFonts w:eastAsia="Times New Roman" w:cs="Arial"/>
          <w:sz w:val="24"/>
          <w:szCs w:val="24"/>
          <w:lang w:val="en" w:eastAsia="en-GB"/>
        </w:rPr>
      </w:pPr>
      <w:r w:rsidRPr="00C537A9">
        <w:rPr>
          <w:rFonts w:eastAsia="Times New Roman" w:cs="Arial"/>
          <w:sz w:val="24"/>
          <w:szCs w:val="24"/>
          <w:lang w:val="en" w:eastAsia="en-GB"/>
        </w:rPr>
        <w:t>Undertake a risk assessment of this patient and select the appropriate risk category.  Answers for all 3 case studies are on the last page of this document.</w:t>
      </w:r>
    </w:p>
    <w:p w:rsidR="00C537A9" w:rsidRDefault="00C537A9" w:rsidP="00C36DF8">
      <w:pPr>
        <w:rPr>
          <w:rFonts w:eastAsia="Times New Roman" w:cs="Arial"/>
          <w:sz w:val="24"/>
          <w:szCs w:val="24"/>
          <w:lang w:val="en" w:eastAsia="en-GB"/>
        </w:rPr>
      </w:pPr>
    </w:p>
    <w:p w:rsidR="004B2182" w:rsidRPr="00C537A9" w:rsidRDefault="004B2182" w:rsidP="00C36DF8">
      <w:pPr>
        <w:rPr>
          <w:rFonts w:eastAsia="Times New Roman" w:cs="Arial"/>
          <w:sz w:val="24"/>
          <w:szCs w:val="24"/>
          <w:lang w:val="en" w:eastAsia="en-GB"/>
        </w:rPr>
      </w:pPr>
    </w:p>
    <w:p w:rsidR="00DA22EA" w:rsidRPr="00C537A9" w:rsidRDefault="00DA22EA" w:rsidP="00C36DF8">
      <w:pPr>
        <w:rPr>
          <w:rFonts w:eastAsia="Times New Roman" w:cs="Arial"/>
          <w:sz w:val="24"/>
          <w:szCs w:val="24"/>
          <w:lang w:val="en" w:eastAsia="en-GB"/>
        </w:rPr>
      </w:pPr>
      <w:r w:rsidRPr="00C537A9">
        <w:rPr>
          <w:rFonts w:eastAsia="Times New Roman" w:cs="Arial"/>
          <w:sz w:val="24"/>
          <w:szCs w:val="24"/>
          <w:lang w:val="en" w:eastAsia="en-GB"/>
        </w:rPr>
        <w:t>A 55 year old female with a 13-year history of rheumatoid arthritis, currently treated with NSAIDs, is admitted for elective hip replacement. Her haemoglobin is 12.9 g/dL and white cell count 13.5x109/L with a neutrophil leucocytosis. Platelets and electrolytes are in the normal range, as is liver function.</w:t>
      </w:r>
    </w:p>
    <w:p w:rsidR="00C36DF8" w:rsidRDefault="00C36DF8" w:rsidP="00C36DF8">
      <w:pPr>
        <w:rPr>
          <w:rFonts w:cs="Arial"/>
          <w:sz w:val="24"/>
          <w:szCs w:val="24"/>
          <w:lang w:val="en"/>
        </w:rPr>
      </w:pPr>
    </w:p>
    <w:p w:rsidR="004B2182" w:rsidRPr="00C537A9" w:rsidRDefault="004B2182" w:rsidP="00C36DF8">
      <w:pPr>
        <w:rPr>
          <w:rFonts w:cs="Arial"/>
          <w:sz w:val="24"/>
          <w:szCs w:val="24"/>
          <w:lang w:val="en"/>
        </w:rPr>
      </w:pPr>
      <w:r>
        <w:rPr>
          <w:rFonts w:eastAsia="Times New Roman" w:cs="Times New Roman"/>
          <w:noProof/>
          <w:sz w:val="24"/>
          <w:szCs w:val="24"/>
          <w:lang w:eastAsia="en-GB"/>
        </w:rPr>
        <w:drawing>
          <wp:anchor distT="0" distB="0" distL="114300" distR="114300" simplePos="0" relativeHeight="251687936" behindDoc="0" locked="0" layoutInCell="1" allowOverlap="1" wp14:anchorId="79F90B82" wp14:editId="623B7628">
            <wp:simplePos x="0" y="0"/>
            <wp:positionH relativeFrom="column">
              <wp:posOffset>5093335</wp:posOffset>
            </wp:positionH>
            <wp:positionV relativeFrom="paragraph">
              <wp:posOffset>165735</wp:posOffset>
            </wp:positionV>
            <wp:extent cx="1714500" cy="31908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1.jpg"/>
                    <pic:cNvPicPr/>
                  </pic:nvPicPr>
                  <pic:blipFill>
                    <a:blip r:embed="rId9">
                      <a:extLst>
                        <a:ext uri="{28A0092B-C50C-407E-A947-70E740481C1C}">
                          <a14:useLocalDpi xmlns:a14="http://schemas.microsoft.com/office/drawing/2010/main" val="0"/>
                        </a:ext>
                      </a:extLst>
                    </a:blip>
                    <a:stretch>
                      <a:fillRect/>
                    </a:stretch>
                  </pic:blipFill>
                  <pic:spPr>
                    <a:xfrm>
                      <a:off x="0" y="0"/>
                      <a:ext cx="1714500" cy="3190875"/>
                    </a:xfrm>
                    <a:prstGeom prst="rect">
                      <a:avLst/>
                    </a:prstGeom>
                  </pic:spPr>
                </pic:pic>
              </a:graphicData>
            </a:graphic>
            <wp14:sizeRelH relativeFrom="page">
              <wp14:pctWidth>0</wp14:pctWidth>
            </wp14:sizeRelH>
            <wp14:sizeRelV relativeFrom="page">
              <wp14:pctHeight>0</wp14:pctHeight>
            </wp14:sizeRelV>
          </wp:anchor>
        </w:drawing>
      </w:r>
    </w:p>
    <w:p w:rsidR="00DA22EA" w:rsidRPr="00C537A9" w:rsidRDefault="00DA22EA" w:rsidP="006C50DE">
      <w:pPr>
        <w:pStyle w:val="ListParagraph"/>
        <w:numPr>
          <w:ilvl w:val="0"/>
          <w:numId w:val="28"/>
        </w:numPr>
        <w:rPr>
          <w:rFonts w:cs="Arial"/>
          <w:sz w:val="24"/>
          <w:szCs w:val="24"/>
          <w:u w:val="single"/>
          <w:lang w:val="en"/>
        </w:rPr>
      </w:pPr>
      <w:r w:rsidRPr="00C537A9">
        <w:rPr>
          <w:rFonts w:cs="Arial"/>
          <w:sz w:val="24"/>
          <w:szCs w:val="24"/>
          <w:u w:val="single"/>
          <w:lang w:val="en"/>
        </w:rPr>
        <w:t>Risk Assessment</w:t>
      </w:r>
    </w:p>
    <w:p w:rsidR="00C36DF8" w:rsidRPr="00C537A9" w:rsidRDefault="00C36DF8" w:rsidP="00C36DF8">
      <w:pPr>
        <w:rPr>
          <w:rFonts w:cs="Arial"/>
          <w:sz w:val="24"/>
          <w:szCs w:val="24"/>
          <w:lang w:val="en"/>
        </w:rPr>
      </w:pPr>
    </w:p>
    <w:p w:rsidR="00DA22EA" w:rsidRPr="00C537A9" w:rsidRDefault="00DA22EA" w:rsidP="00C36DF8">
      <w:pPr>
        <w:ind w:left="709"/>
        <w:rPr>
          <w:rFonts w:eastAsia="Times New Roman" w:cs="Arial"/>
          <w:sz w:val="24"/>
          <w:szCs w:val="24"/>
          <w:lang w:val="en" w:eastAsia="en-GB"/>
        </w:rPr>
      </w:pPr>
      <w:r w:rsidRPr="00C537A9">
        <w:rPr>
          <w:rFonts w:eastAsia="Times New Roman" w:cs="Arial"/>
          <w:sz w:val="24"/>
          <w:szCs w:val="24"/>
          <w:lang w:val="en" w:eastAsia="en-GB"/>
        </w:rPr>
        <w:t>Select one option from the answers below.</w:t>
      </w:r>
      <w:r w:rsidR="00C36DF8" w:rsidRPr="00C537A9">
        <w:rPr>
          <w:rFonts w:eastAsia="Times New Roman" w:cs="Arial"/>
          <w:sz w:val="24"/>
          <w:szCs w:val="24"/>
          <w:lang w:val="en" w:eastAsia="en-GB"/>
        </w:rPr>
        <w:t xml:space="preserve"> Answers are on the last page of this document.</w:t>
      </w:r>
    </w:p>
    <w:tbl>
      <w:tblPr>
        <w:tblW w:w="0" w:type="auto"/>
        <w:tblCellSpacing w:w="15" w:type="dxa"/>
        <w:tblInd w:w="754" w:type="dxa"/>
        <w:tblCellMar>
          <w:top w:w="15" w:type="dxa"/>
          <w:left w:w="15" w:type="dxa"/>
          <w:bottom w:w="15" w:type="dxa"/>
          <w:right w:w="15" w:type="dxa"/>
        </w:tblCellMar>
        <w:tblLook w:val="04A0" w:firstRow="1" w:lastRow="0" w:firstColumn="1" w:lastColumn="0" w:noHBand="0" w:noVBand="1"/>
      </w:tblPr>
      <w:tblGrid>
        <w:gridCol w:w="425"/>
        <w:gridCol w:w="4678"/>
        <w:gridCol w:w="425"/>
      </w:tblGrid>
      <w:tr w:rsidR="00C537A9" w:rsidRPr="00C537A9" w:rsidTr="00C36DF8">
        <w:trPr>
          <w:tblCellSpacing w:w="15" w:type="dxa"/>
        </w:trPr>
        <w:tc>
          <w:tcPr>
            <w:tcW w:w="380"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A.</w:t>
            </w:r>
          </w:p>
        </w:tc>
        <w:tc>
          <w:tcPr>
            <w:tcW w:w="4648"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Low risk for VTE</w:t>
            </w:r>
          </w:p>
        </w:tc>
        <w:tc>
          <w:tcPr>
            <w:tcW w:w="380" w:type="dxa"/>
          </w:tcPr>
          <w:sdt>
            <w:sdtPr>
              <w:rPr>
                <w:rFonts w:eastAsia="Times New Roman" w:cs="Arial"/>
                <w:sz w:val="24"/>
                <w:szCs w:val="24"/>
                <w:lang w:eastAsia="en-GB"/>
              </w:rPr>
              <w:id w:val="-57411752"/>
              <w14:checkbox>
                <w14:checked w14:val="0"/>
                <w14:checkedState w14:val="2612" w14:font="MS Gothic"/>
                <w14:uncheckedState w14:val="2610" w14:font="MS Gothic"/>
              </w14:checkbox>
            </w:sdtPr>
            <w:sdtEndPr/>
            <w:sdtContent>
              <w:p w:rsidR="00C36DF8" w:rsidRPr="00C537A9" w:rsidRDefault="00C36DF8" w:rsidP="00C36DF8">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C36DF8">
        <w:trPr>
          <w:tblCellSpacing w:w="15" w:type="dxa"/>
        </w:trPr>
        <w:tc>
          <w:tcPr>
            <w:tcW w:w="380"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B.</w:t>
            </w:r>
          </w:p>
        </w:tc>
        <w:tc>
          <w:tcPr>
            <w:tcW w:w="4648"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High risk for VTE and low risk for bleeding</w:t>
            </w:r>
          </w:p>
        </w:tc>
        <w:tc>
          <w:tcPr>
            <w:tcW w:w="380" w:type="dxa"/>
          </w:tcPr>
          <w:sdt>
            <w:sdtPr>
              <w:rPr>
                <w:rFonts w:eastAsia="Times New Roman" w:cs="Arial"/>
                <w:sz w:val="24"/>
                <w:szCs w:val="24"/>
                <w:lang w:eastAsia="en-GB"/>
              </w:rPr>
              <w:id w:val="-95712737"/>
              <w14:checkbox>
                <w14:checked w14:val="0"/>
                <w14:checkedState w14:val="2612" w14:font="MS Gothic"/>
                <w14:uncheckedState w14:val="2610" w14:font="MS Gothic"/>
              </w14:checkbox>
            </w:sdtPr>
            <w:sdtEndPr/>
            <w:sdtContent>
              <w:p w:rsidR="00C36DF8" w:rsidRPr="00C537A9" w:rsidRDefault="00C36DF8" w:rsidP="00C36DF8">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C36DF8">
        <w:trPr>
          <w:tblCellSpacing w:w="15" w:type="dxa"/>
        </w:trPr>
        <w:tc>
          <w:tcPr>
            <w:tcW w:w="380"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C.</w:t>
            </w:r>
          </w:p>
        </w:tc>
        <w:tc>
          <w:tcPr>
            <w:tcW w:w="4648"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High risk for VTE and high risk for bleeding</w:t>
            </w:r>
          </w:p>
        </w:tc>
        <w:tc>
          <w:tcPr>
            <w:tcW w:w="380" w:type="dxa"/>
          </w:tcPr>
          <w:sdt>
            <w:sdtPr>
              <w:rPr>
                <w:rFonts w:eastAsia="Times New Roman" w:cs="Arial"/>
                <w:sz w:val="24"/>
                <w:szCs w:val="24"/>
                <w:lang w:eastAsia="en-GB"/>
              </w:rPr>
              <w:id w:val="-1583136842"/>
              <w14:checkbox>
                <w14:checked w14:val="0"/>
                <w14:checkedState w14:val="2612" w14:font="MS Gothic"/>
                <w14:uncheckedState w14:val="2610" w14:font="MS Gothic"/>
              </w14:checkbox>
            </w:sdtPr>
            <w:sdtEndPr/>
            <w:sdtContent>
              <w:p w:rsidR="00C36DF8" w:rsidRPr="00C537A9" w:rsidRDefault="00C36DF8" w:rsidP="00C36DF8">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bl>
    <w:p w:rsidR="00DA22EA" w:rsidRDefault="00DA22EA"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Pr="00C537A9" w:rsidRDefault="004B2182" w:rsidP="00C36DF8">
      <w:pPr>
        <w:rPr>
          <w:rFonts w:cs="Arial"/>
          <w:sz w:val="24"/>
          <w:szCs w:val="24"/>
          <w:lang w:val="en"/>
        </w:rPr>
      </w:pPr>
    </w:p>
    <w:p w:rsidR="00DA22EA" w:rsidRPr="00C537A9" w:rsidRDefault="00DA22EA" w:rsidP="006C50DE">
      <w:pPr>
        <w:pStyle w:val="ListParagraph"/>
        <w:numPr>
          <w:ilvl w:val="0"/>
          <w:numId w:val="28"/>
        </w:numPr>
        <w:rPr>
          <w:rFonts w:cs="Arial"/>
          <w:sz w:val="24"/>
          <w:szCs w:val="24"/>
          <w:u w:val="single"/>
          <w:lang w:val="en"/>
        </w:rPr>
      </w:pPr>
      <w:r w:rsidRPr="00C537A9">
        <w:rPr>
          <w:rFonts w:cs="Arial"/>
          <w:sz w:val="24"/>
          <w:szCs w:val="24"/>
          <w:u w:val="single"/>
          <w:lang w:val="en"/>
        </w:rPr>
        <w:t>The Correct Form of Thromboprophylaxis</w:t>
      </w:r>
    </w:p>
    <w:p w:rsidR="00C36DF8" w:rsidRPr="00C537A9" w:rsidRDefault="00C36DF8" w:rsidP="00C36DF8">
      <w:pPr>
        <w:pStyle w:val="ListParagraph"/>
        <w:rPr>
          <w:rFonts w:cs="Arial"/>
          <w:sz w:val="24"/>
          <w:szCs w:val="24"/>
          <w:u w:val="single"/>
          <w:lang w:val="en"/>
        </w:rPr>
      </w:pPr>
    </w:p>
    <w:p w:rsidR="00DA22EA" w:rsidRPr="00C537A9" w:rsidRDefault="00DA22EA" w:rsidP="00C36DF8">
      <w:pPr>
        <w:ind w:left="709"/>
        <w:rPr>
          <w:rFonts w:eastAsia="Times New Roman" w:cs="Arial"/>
          <w:sz w:val="24"/>
          <w:szCs w:val="24"/>
          <w:lang w:val="en" w:eastAsia="en-GB"/>
        </w:rPr>
      </w:pPr>
      <w:r w:rsidRPr="00C537A9">
        <w:rPr>
          <w:rFonts w:eastAsia="Times New Roman" w:cs="Arial"/>
          <w:sz w:val="24"/>
          <w:szCs w:val="24"/>
          <w:lang w:val="en" w:eastAsia="en-GB"/>
        </w:rPr>
        <w:t>Select the correct form of thromboprophylaxis. Answers are on the last page of this document.</w:t>
      </w:r>
    </w:p>
    <w:tbl>
      <w:tblPr>
        <w:tblW w:w="0" w:type="auto"/>
        <w:tblCellSpacing w:w="15" w:type="dxa"/>
        <w:tblInd w:w="754" w:type="dxa"/>
        <w:tblCellMar>
          <w:top w:w="15" w:type="dxa"/>
          <w:left w:w="15" w:type="dxa"/>
          <w:bottom w:w="15" w:type="dxa"/>
          <w:right w:w="15" w:type="dxa"/>
        </w:tblCellMar>
        <w:tblLook w:val="04A0" w:firstRow="1" w:lastRow="0" w:firstColumn="1" w:lastColumn="0" w:noHBand="0" w:noVBand="1"/>
      </w:tblPr>
      <w:tblGrid>
        <w:gridCol w:w="360"/>
        <w:gridCol w:w="9279"/>
        <w:gridCol w:w="469"/>
      </w:tblGrid>
      <w:tr w:rsidR="004B2182" w:rsidRPr="00C537A9" w:rsidTr="00C36DF8">
        <w:trPr>
          <w:tblCellSpacing w:w="15" w:type="dxa"/>
        </w:trPr>
        <w:tc>
          <w:tcPr>
            <w:tcW w:w="315"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A.</w:t>
            </w:r>
          </w:p>
        </w:tc>
        <w:tc>
          <w:tcPr>
            <w:tcW w:w="9249"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Pharmacological and mechanical thromboprophylaxis continued for duration of admission</w:t>
            </w:r>
          </w:p>
        </w:tc>
        <w:tc>
          <w:tcPr>
            <w:tcW w:w="424" w:type="dxa"/>
          </w:tcPr>
          <w:sdt>
            <w:sdtPr>
              <w:rPr>
                <w:rFonts w:eastAsia="Times New Roman" w:cs="Arial"/>
                <w:sz w:val="24"/>
                <w:szCs w:val="24"/>
                <w:lang w:eastAsia="en-GB"/>
              </w:rPr>
              <w:id w:val="-738091742"/>
              <w14:checkbox>
                <w14:checked w14:val="0"/>
                <w14:checkedState w14:val="2612" w14:font="MS Gothic"/>
                <w14:uncheckedState w14:val="2610" w14:font="MS Gothic"/>
              </w14:checkbox>
            </w:sdtPr>
            <w:sdtEndPr/>
            <w:sdtContent>
              <w:p w:rsidR="00C36DF8" w:rsidRPr="00C537A9" w:rsidRDefault="004C6AD0">
                <w:r>
                  <w:rPr>
                    <w:rFonts w:ascii="MS Gothic" w:eastAsia="MS Gothic" w:hAnsi="MS Gothic" w:cs="Arial" w:hint="eastAsia"/>
                    <w:sz w:val="24"/>
                    <w:szCs w:val="24"/>
                    <w:lang w:eastAsia="en-GB"/>
                  </w:rPr>
                  <w:t>☐</w:t>
                </w:r>
              </w:p>
            </w:sdtContent>
          </w:sdt>
        </w:tc>
      </w:tr>
      <w:tr w:rsidR="004B2182" w:rsidRPr="00C537A9" w:rsidTr="00C36DF8">
        <w:trPr>
          <w:tblCellSpacing w:w="15" w:type="dxa"/>
        </w:trPr>
        <w:tc>
          <w:tcPr>
            <w:tcW w:w="315"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B.</w:t>
            </w:r>
          </w:p>
        </w:tc>
        <w:tc>
          <w:tcPr>
            <w:tcW w:w="9249"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Anti-embolism stockings throughout admission</w:t>
            </w:r>
          </w:p>
        </w:tc>
        <w:tc>
          <w:tcPr>
            <w:tcW w:w="424" w:type="dxa"/>
          </w:tcPr>
          <w:sdt>
            <w:sdtPr>
              <w:rPr>
                <w:rFonts w:eastAsia="Times New Roman" w:cs="Arial"/>
                <w:sz w:val="24"/>
                <w:szCs w:val="24"/>
                <w:lang w:eastAsia="en-GB"/>
              </w:rPr>
              <w:id w:val="754332099"/>
              <w14:checkbox>
                <w14:checked w14:val="0"/>
                <w14:checkedState w14:val="2612" w14:font="MS Gothic"/>
                <w14:uncheckedState w14:val="2610" w14:font="MS Gothic"/>
              </w14:checkbox>
            </w:sdtPr>
            <w:sdtEndPr/>
            <w:sdtContent>
              <w:p w:rsidR="00C36DF8" w:rsidRPr="00C537A9" w:rsidRDefault="00C36DF8">
                <w:r w:rsidRPr="00C537A9">
                  <w:rPr>
                    <w:rFonts w:ascii="MS Gothic" w:eastAsia="MS Gothic" w:hAnsi="MS Gothic" w:cs="Arial" w:hint="eastAsia"/>
                    <w:sz w:val="24"/>
                    <w:szCs w:val="24"/>
                    <w:lang w:eastAsia="en-GB"/>
                  </w:rPr>
                  <w:t>☐</w:t>
                </w:r>
              </w:p>
            </w:sdtContent>
          </w:sdt>
        </w:tc>
      </w:tr>
      <w:tr w:rsidR="004B2182" w:rsidRPr="00C537A9" w:rsidTr="00C36DF8">
        <w:trPr>
          <w:tblCellSpacing w:w="15" w:type="dxa"/>
        </w:trPr>
        <w:tc>
          <w:tcPr>
            <w:tcW w:w="315"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C.</w:t>
            </w:r>
          </w:p>
        </w:tc>
        <w:tc>
          <w:tcPr>
            <w:tcW w:w="9249"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Pharmacological and mechanical thromboprophylaxis throughout admission and continuing for 28-35 days post-operatively</w:t>
            </w:r>
          </w:p>
        </w:tc>
        <w:tc>
          <w:tcPr>
            <w:tcW w:w="424" w:type="dxa"/>
          </w:tcPr>
          <w:sdt>
            <w:sdtPr>
              <w:rPr>
                <w:rFonts w:eastAsia="Times New Roman" w:cs="Arial"/>
                <w:sz w:val="24"/>
                <w:szCs w:val="24"/>
                <w:lang w:eastAsia="en-GB"/>
              </w:rPr>
              <w:id w:val="566463148"/>
              <w14:checkbox>
                <w14:checked w14:val="0"/>
                <w14:checkedState w14:val="2612" w14:font="MS Gothic"/>
                <w14:uncheckedState w14:val="2610" w14:font="MS Gothic"/>
              </w14:checkbox>
            </w:sdtPr>
            <w:sdtEndPr/>
            <w:sdtContent>
              <w:p w:rsidR="00C36DF8" w:rsidRPr="00C537A9" w:rsidRDefault="00C36DF8">
                <w:r w:rsidRPr="00C537A9">
                  <w:rPr>
                    <w:rFonts w:ascii="MS Gothic" w:eastAsia="MS Gothic" w:hAnsi="MS Gothic" w:cs="Arial" w:hint="eastAsia"/>
                    <w:sz w:val="24"/>
                    <w:szCs w:val="24"/>
                    <w:lang w:eastAsia="en-GB"/>
                  </w:rPr>
                  <w:t>☐</w:t>
                </w:r>
              </w:p>
            </w:sdtContent>
          </w:sdt>
        </w:tc>
      </w:tr>
      <w:tr w:rsidR="004B2182" w:rsidRPr="00C537A9" w:rsidTr="00C36DF8">
        <w:trPr>
          <w:tblCellSpacing w:w="15" w:type="dxa"/>
        </w:trPr>
        <w:tc>
          <w:tcPr>
            <w:tcW w:w="315"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D.</w:t>
            </w:r>
          </w:p>
        </w:tc>
        <w:tc>
          <w:tcPr>
            <w:tcW w:w="9249" w:type="dxa"/>
            <w:vAlign w:val="center"/>
            <w:hideMark/>
          </w:tcPr>
          <w:p w:rsidR="00C36DF8" w:rsidRPr="00C537A9" w:rsidRDefault="00C36DF8" w:rsidP="00C36DF8">
            <w:pPr>
              <w:rPr>
                <w:rFonts w:eastAsia="Times New Roman" w:cs="Arial"/>
                <w:sz w:val="24"/>
                <w:szCs w:val="24"/>
                <w:lang w:eastAsia="en-GB"/>
              </w:rPr>
            </w:pPr>
            <w:r w:rsidRPr="00C537A9">
              <w:rPr>
                <w:rFonts w:eastAsia="Times New Roman" w:cs="Arial"/>
                <w:sz w:val="24"/>
                <w:szCs w:val="24"/>
                <w:lang w:eastAsia="en-GB"/>
              </w:rPr>
              <w:t xml:space="preserve">Pharmacological and mechanical thromboprophylaxis throughout admission and for at least </w:t>
            </w:r>
            <w:r w:rsidRPr="00C537A9">
              <w:rPr>
                <w:rFonts w:eastAsia="Times New Roman" w:cs="Arial"/>
                <w:sz w:val="24"/>
                <w:szCs w:val="24"/>
                <w:lang w:eastAsia="en-GB"/>
              </w:rPr>
              <w:br/>
              <w:t>7 days post-operatively</w:t>
            </w:r>
          </w:p>
        </w:tc>
        <w:tc>
          <w:tcPr>
            <w:tcW w:w="424" w:type="dxa"/>
          </w:tcPr>
          <w:sdt>
            <w:sdtPr>
              <w:rPr>
                <w:rFonts w:eastAsia="Times New Roman" w:cs="Arial"/>
                <w:sz w:val="24"/>
                <w:szCs w:val="24"/>
                <w:lang w:eastAsia="en-GB"/>
              </w:rPr>
              <w:id w:val="722331464"/>
              <w14:checkbox>
                <w14:checked w14:val="0"/>
                <w14:checkedState w14:val="2612" w14:font="MS Gothic"/>
                <w14:uncheckedState w14:val="2610" w14:font="MS Gothic"/>
              </w14:checkbox>
            </w:sdtPr>
            <w:sdtEndPr/>
            <w:sdtContent>
              <w:p w:rsidR="00C36DF8" w:rsidRPr="00C537A9" w:rsidRDefault="00C36DF8">
                <w:r w:rsidRPr="00C537A9">
                  <w:rPr>
                    <w:rFonts w:ascii="MS Gothic" w:eastAsia="MS Gothic" w:hAnsi="MS Gothic" w:cs="Arial" w:hint="eastAsia"/>
                    <w:sz w:val="24"/>
                    <w:szCs w:val="24"/>
                    <w:lang w:eastAsia="en-GB"/>
                  </w:rPr>
                  <w:t>☐</w:t>
                </w:r>
              </w:p>
            </w:sdtContent>
          </w:sdt>
        </w:tc>
      </w:tr>
    </w:tbl>
    <w:p w:rsidR="00DA22EA" w:rsidRPr="00C537A9" w:rsidRDefault="00DA22EA" w:rsidP="00C36DF8">
      <w:pPr>
        <w:pStyle w:val="Heading2"/>
        <w:spacing w:before="0"/>
        <w:rPr>
          <w:rFonts w:asciiTheme="minorHAnsi" w:hAnsiTheme="minorHAnsi" w:cs="Arial"/>
          <w:color w:val="auto"/>
          <w:sz w:val="24"/>
          <w:szCs w:val="24"/>
          <w:lang w:val="en"/>
        </w:rPr>
      </w:pPr>
    </w:p>
    <w:p w:rsidR="00DA22EA" w:rsidRPr="00C537A9" w:rsidRDefault="00DA22EA" w:rsidP="00C36DF8">
      <w:pPr>
        <w:rPr>
          <w:rFonts w:eastAsiaTheme="majorEastAsia" w:cs="Arial"/>
          <w:b/>
          <w:bCs/>
          <w:sz w:val="24"/>
          <w:szCs w:val="24"/>
          <w:lang w:val="en"/>
        </w:rPr>
      </w:pPr>
      <w:r w:rsidRPr="00C537A9">
        <w:rPr>
          <w:rFonts w:cs="Arial"/>
          <w:sz w:val="24"/>
          <w:szCs w:val="24"/>
          <w:lang w:val="en"/>
        </w:rPr>
        <w:br w:type="page"/>
      </w:r>
    </w:p>
    <w:p w:rsidR="00C36DF8" w:rsidRPr="006C50DE" w:rsidRDefault="00C537A9"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Case Study 2</w:t>
      </w:r>
    </w:p>
    <w:p w:rsidR="00C36DF8" w:rsidRPr="00C537A9" w:rsidRDefault="00C36DF8" w:rsidP="00C36DF8">
      <w:pPr>
        <w:rPr>
          <w:rFonts w:eastAsia="Times New Roman" w:cs="Arial"/>
          <w:sz w:val="24"/>
          <w:szCs w:val="24"/>
          <w:lang w:val="en" w:eastAsia="en-GB"/>
        </w:rPr>
      </w:pPr>
    </w:p>
    <w:p w:rsidR="00C36DF8" w:rsidRPr="00C537A9" w:rsidRDefault="00C36DF8" w:rsidP="00C36DF8">
      <w:pPr>
        <w:rPr>
          <w:rFonts w:eastAsia="Times New Roman" w:cs="Arial"/>
          <w:sz w:val="24"/>
          <w:szCs w:val="24"/>
          <w:lang w:val="en" w:eastAsia="en-GB"/>
        </w:rPr>
      </w:pPr>
      <w:r w:rsidRPr="00C537A9">
        <w:rPr>
          <w:rFonts w:eastAsia="Times New Roman" w:cs="Arial"/>
          <w:sz w:val="24"/>
          <w:szCs w:val="24"/>
          <w:lang w:val="en" w:eastAsia="en-GB"/>
        </w:rPr>
        <w:t>Undertake a risk assessment of this patient and select the appropriate risk category.  Answers for all 3 case studies are on the last page of this document.</w:t>
      </w:r>
      <w:r w:rsidRPr="00C537A9">
        <w:rPr>
          <w:rFonts w:cs="Arial"/>
          <w:noProof/>
          <w:sz w:val="24"/>
          <w:szCs w:val="24"/>
          <w:lang w:eastAsia="en-GB"/>
        </w:rPr>
        <w:t xml:space="preserve"> </w:t>
      </w:r>
    </w:p>
    <w:p w:rsidR="00C36DF8" w:rsidRDefault="00C36DF8" w:rsidP="00C36DF8">
      <w:pPr>
        <w:rPr>
          <w:rFonts w:eastAsia="Times New Roman" w:cs="Arial"/>
          <w:sz w:val="24"/>
          <w:szCs w:val="24"/>
          <w:lang w:val="en" w:eastAsia="en-GB"/>
        </w:rPr>
      </w:pPr>
    </w:p>
    <w:p w:rsidR="004B2182" w:rsidRPr="00C537A9" w:rsidRDefault="004B2182" w:rsidP="00C36DF8">
      <w:pPr>
        <w:rPr>
          <w:rFonts w:eastAsia="Times New Roman" w:cs="Arial"/>
          <w:sz w:val="24"/>
          <w:szCs w:val="24"/>
          <w:lang w:val="en" w:eastAsia="en-GB"/>
        </w:rPr>
      </w:pPr>
    </w:p>
    <w:p w:rsidR="00DA22EA" w:rsidRDefault="00DA22EA" w:rsidP="00C36DF8">
      <w:pPr>
        <w:pStyle w:val="highlight"/>
        <w:spacing w:before="0" w:beforeAutospacing="0" w:after="0" w:afterAutospacing="0"/>
        <w:rPr>
          <w:rFonts w:asciiTheme="minorHAnsi" w:hAnsiTheme="minorHAnsi" w:cs="Arial"/>
          <w:lang w:val="en"/>
        </w:rPr>
      </w:pPr>
      <w:r w:rsidRPr="00C537A9">
        <w:rPr>
          <w:rFonts w:asciiTheme="minorHAnsi" w:hAnsiTheme="minorHAnsi" w:cs="Arial"/>
          <w:lang w:val="en"/>
        </w:rPr>
        <w:t>A 62 year old male is admitted with cellulitis of the upper limb, requiring intravenous antibiotics; there is no reduction in his mobility. His full blood count is normal, and his BMI is 25.</w:t>
      </w:r>
    </w:p>
    <w:p w:rsidR="004B2182" w:rsidRPr="00C537A9" w:rsidRDefault="004B2182" w:rsidP="00C36DF8">
      <w:pPr>
        <w:pStyle w:val="highlight"/>
        <w:spacing w:before="0" w:beforeAutospacing="0" w:after="0" w:afterAutospacing="0"/>
        <w:rPr>
          <w:rFonts w:asciiTheme="minorHAnsi" w:hAnsiTheme="minorHAnsi" w:cs="Arial"/>
          <w:lang w:val="en"/>
        </w:rPr>
      </w:pPr>
    </w:p>
    <w:p w:rsidR="00C36DF8" w:rsidRPr="00C537A9" w:rsidRDefault="00C36DF8" w:rsidP="00C36DF8">
      <w:pPr>
        <w:pStyle w:val="highlight"/>
        <w:spacing w:before="0" w:beforeAutospacing="0" w:after="0" w:afterAutospacing="0"/>
        <w:rPr>
          <w:rFonts w:asciiTheme="minorHAnsi" w:hAnsiTheme="minorHAnsi" w:cs="Arial"/>
          <w:lang w:val="en"/>
        </w:rPr>
      </w:pPr>
    </w:p>
    <w:p w:rsidR="00C36DF8" w:rsidRPr="00C537A9" w:rsidRDefault="004B2182" w:rsidP="006C50DE">
      <w:pPr>
        <w:pStyle w:val="ListParagraph"/>
        <w:numPr>
          <w:ilvl w:val="0"/>
          <w:numId w:val="29"/>
        </w:numPr>
        <w:rPr>
          <w:rFonts w:cs="Arial"/>
          <w:sz w:val="24"/>
          <w:szCs w:val="24"/>
          <w:u w:val="single"/>
          <w:lang w:val="en"/>
        </w:rPr>
      </w:pPr>
      <w:r w:rsidRPr="00C537A9">
        <w:rPr>
          <w:rFonts w:cs="Arial"/>
          <w:noProof/>
          <w:sz w:val="24"/>
          <w:szCs w:val="24"/>
          <w:lang w:eastAsia="en-GB"/>
        </w:rPr>
        <w:drawing>
          <wp:anchor distT="0" distB="0" distL="114300" distR="114300" simplePos="0" relativeHeight="251659264" behindDoc="0" locked="0" layoutInCell="1" allowOverlap="1" wp14:anchorId="1FB46DDB" wp14:editId="67E734CF">
            <wp:simplePos x="0" y="0"/>
            <wp:positionH relativeFrom="column">
              <wp:posOffset>3879215</wp:posOffset>
            </wp:positionH>
            <wp:positionV relativeFrom="paragraph">
              <wp:posOffset>-3810</wp:posOffset>
            </wp:positionV>
            <wp:extent cx="3064510" cy="2030730"/>
            <wp:effectExtent l="0" t="0" r="2540" b="7620"/>
            <wp:wrapSquare wrapText="bothSides"/>
            <wp:docPr id="47" name="Picture 47" descr="http://cs1.e-learningforhealthcare.org.uk/public/VTE_Public_Access/VTE_02_01/jpg/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s1.e-learningforhealthcare.org.uk/public/VTE_Public_Access/VTE_02_01/jpg/Image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45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F8" w:rsidRPr="00C537A9">
        <w:rPr>
          <w:rFonts w:cs="Arial"/>
          <w:sz w:val="24"/>
          <w:szCs w:val="24"/>
          <w:u w:val="single"/>
          <w:lang w:val="en"/>
        </w:rPr>
        <w:t>Risk Assessment</w:t>
      </w:r>
    </w:p>
    <w:p w:rsidR="00C36DF8" w:rsidRPr="00C537A9" w:rsidRDefault="00C36DF8" w:rsidP="00C36DF8">
      <w:pPr>
        <w:rPr>
          <w:rFonts w:eastAsia="Times New Roman" w:cs="Arial"/>
          <w:sz w:val="24"/>
          <w:szCs w:val="24"/>
          <w:lang w:val="en" w:eastAsia="en-GB"/>
        </w:rPr>
      </w:pPr>
    </w:p>
    <w:p w:rsidR="00C36DF8" w:rsidRPr="00C537A9" w:rsidRDefault="007B74FA" w:rsidP="00C36DF8">
      <w:pPr>
        <w:ind w:left="709"/>
        <w:rPr>
          <w:rFonts w:eastAsia="Times New Roman" w:cs="Arial"/>
          <w:sz w:val="24"/>
          <w:szCs w:val="24"/>
          <w:lang w:val="en" w:eastAsia="en-GB"/>
        </w:rPr>
      </w:pPr>
      <w:r w:rsidRPr="00C537A9">
        <w:rPr>
          <w:rFonts w:eastAsia="Times New Roman" w:cs="Arial"/>
          <w:sz w:val="24"/>
          <w:szCs w:val="24"/>
          <w:lang w:val="en" w:eastAsia="en-GB"/>
        </w:rPr>
        <w:t>Tick the box for the correct option.</w:t>
      </w:r>
    </w:p>
    <w:tbl>
      <w:tblPr>
        <w:tblW w:w="0" w:type="auto"/>
        <w:tblCellSpacing w:w="15" w:type="dxa"/>
        <w:tblInd w:w="754" w:type="dxa"/>
        <w:tblCellMar>
          <w:top w:w="15" w:type="dxa"/>
          <w:left w:w="15" w:type="dxa"/>
          <w:bottom w:w="15" w:type="dxa"/>
          <w:right w:w="15" w:type="dxa"/>
        </w:tblCellMar>
        <w:tblLook w:val="04A0" w:firstRow="1" w:lastRow="0" w:firstColumn="1" w:lastColumn="0" w:noHBand="0" w:noVBand="1"/>
      </w:tblPr>
      <w:tblGrid>
        <w:gridCol w:w="415"/>
        <w:gridCol w:w="4432"/>
        <w:gridCol w:w="418"/>
      </w:tblGrid>
      <w:tr w:rsidR="00C537A9" w:rsidRPr="00C537A9" w:rsidTr="00467A84">
        <w:trPr>
          <w:tblCellSpacing w:w="15" w:type="dxa"/>
        </w:trPr>
        <w:tc>
          <w:tcPr>
            <w:tcW w:w="380"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A.</w:t>
            </w:r>
          </w:p>
        </w:tc>
        <w:tc>
          <w:tcPr>
            <w:tcW w:w="4648"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Low risk for VTE</w:t>
            </w:r>
          </w:p>
        </w:tc>
        <w:tc>
          <w:tcPr>
            <w:tcW w:w="380" w:type="dxa"/>
          </w:tcPr>
          <w:sdt>
            <w:sdtPr>
              <w:rPr>
                <w:rFonts w:eastAsia="Times New Roman" w:cs="Arial"/>
                <w:sz w:val="24"/>
                <w:szCs w:val="24"/>
                <w:lang w:eastAsia="en-GB"/>
              </w:rPr>
              <w:id w:val="-127629350"/>
              <w14:checkbox>
                <w14:checked w14:val="0"/>
                <w14:checkedState w14:val="2612" w14:font="MS Gothic"/>
                <w14:uncheckedState w14:val="2610" w14:font="MS Gothic"/>
              </w14:checkbox>
            </w:sdtPr>
            <w:sdtEndPr/>
            <w:sdtContent>
              <w:p w:rsidR="00C36DF8" w:rsidRPr="00C537A9" w:rsidRDefault="00C36DF8"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467A84">
        <w:trPr>
          <w:tblCellSpacing w:w="15" w:type="dxa"/>
        </w:trPr>
        <w:tc>
          <w:tcPr>
            <w:tcW w:w="380"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B.</w:t>
            </w:r>
          </w:p>
        </w:tc>
        <w:tc>
          <w:tcPr>
            <w:tcW w:w="4648"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High risk for VTE and low risk for bleeding</w:t>
            </w:r>
          </w:p>
        </w:tc>
        <w:tc>
          <w:tcPr>
            <w:tcW w:w="380" w:type="dxa"/>
          </w:tcPr>
          <w:sdt>
            <w:sdtPr>
              <w:rPr>
                <w:rFonts w:eastAsia="Times New Roman" w:cs="Arial"/>
                <w:sz w:val="24"/>
                <w:szCs w:val="24"/>
                <w:lang w:eastAsia="en-GB"/>
              </w:rPr>
              <w:id w:val="363267752"/>
              <w14:checkbox>
                <w14:checked w14:val="0"/>
                <w14:checkedState w14:val="2612" w14:font="MS Gothic"/>
                <w14:uncheckedState w14:val="2610" w14:font="MS Gothic"/>
              </w14:checkbox>
            </w:sdtPr>
            <w:sdtEndPr/>
            <w:sdtContent>
              <w:p w:rsidR="00C36DF8" w:rsidRPr="00C537A9" w:rsidRDefault="00C36DF8"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467A84">
        <w:trPr>
          <w:tblCellSpacing w:w="15" w:type="dxa"/>
        </w:trPr>
        <w:tc>
          <w:tcPr>
            <w:tcW w:w="380"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C.</w:t>
            </w:r>
          </w:p>
        </w:tc>
        <w:tc>
          <w:tcPr>
            <w:tcW w:w="4648"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High risk for VTE and high risk for bleeding</w:t>
            </w:r>
          </w:p>
        </w:tc>
        <w:tc>
          <w:tcPr>
            <w:tcW w:w="380" w:type="dxa"/>
          </w:tcPr>
          <w:sdt>
            <w:sdtPr>
              <w:rPr>
                <w:rFonts w:eastAsia="Times New Roman" w:cs="Arial"/>
                <w:sz w:val="24"/>
                <w:szCs w:val="24"/>
                <w:lang w:eastAsia="en-GB"/>
              </w:rPr>
              <w:id w:val="-1683819852"/>
              <w14:checkbox>
                <w14:checked w14:val="0"/>
                <w14:checkedState w14:val="2612" w14:font="MS Gothic"/>
                <w14:uncheckedState w14:val="2610" w14:font="MS Gothic"/>
              </w14:checkbox>
            </w:sdtPr>
            <w:sdtEndPr/>
            <w:sdtContent>
              <w:p w:rsidR="00C36DF8" w:rsidRPr="00C537A9" w:rsidRDefault="00C36DF8"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bl>
    <w:p w:rsidR="00C36DF8" w:rsidRDefault="00C36DF8"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Default="004B2182" w:rsidP="00C36DF8">
      <w:pPr>
        <w:rPr>
          <w:rFonts w:cs="Arial"/>
          <w:sz w:val="24"/>
          <w:szCs w:val="24"/>
          <w:lang w:val="en"/>
        </w:rPr>
      </w:pPr>
    </w:p>
    <w:p w:rsidR="004B2182" w:rsidRPr="00C537A9" w:rsidRDefault="004B2182" w:rsidP="00C36DF8">
      <w:pPr>
        <w:rPr>
          <w:rFonts w:cs="Arial"/>
          <w:sz w:val="24"/>
          <w:szCs w:val="24"/>
          <w:lang w:val="en"/>
        </w:rPr>
      </w:pPr>
    </w:p>
    <w:p w:rsidR="00C36DF8" w:rsidRPr="00C537A9" w:rsidRDefault="00C36DF8" w:rsidP="006C50DE">
      <w:pPr>
        <w:pStyle w:val="ListParagraph"/>
        <w:numPr>
          <w:ilvl w:val="0"/>
          <w:numId w:val="29"/>
        </w:numPr>
        <w:rPr>
          <w:rFonts w:cs="Arial"/>
          <w:sz w:val="24"/>
          <w:szCs w:val="24"/>
          <w:u w:val="single"/>
          <w:lang w:val="en"/>
        </w:rPr>
      </w:pPr>
      <w:r w:rsidRPr="00C537A9">
        <w:rPr>
          <w:rFonts w:cs="Arial"/>
          <w:sz w:val="24"/>
          <w:szCs w:val="24"/>
          <w:u w:val="single"/>
          <w:lang w:val="en"/>
        </w:rPr>
        <w:t>The Correct Form of Thromboprophylaxis</w:t>
      </w:r>
    </w:p>
    <w:p w:rsidR="00C36DF8" w:rsidRPr="00C537A9" w:rsidRDefault="00C36DF8" w:rsidP="00C36DF8">
      <w:pPr>
        <w:pStyle w:val="ListParagraph"/>
        <w:rPr>
          <w:rFonts w:cs="Arial"/>
          <w:sz w:val="24"/>
          <w:szCs w:val="24"/>
          <w:u w:val="single"/>
          <w:lang w:val="en"/>
        </w:rPr>
      </w:pPr>
    </w:p>
    <w:p w:rsidR="007B74FA" w:rsidRPr="00C537A9" w:rsidRDefault="007B74FA" w:rsidP="007B74FA">
      <w:pPr>
        <w:ind w:left="709"/>
        <w:rPr>
          <w:rFonts w:eastAsia="Times New Roman" w:cs="Arial"/>
          <w:sz w:val="24"/>
          <w:szCs w:val="24"/>
          <w:lang w:val="en" w:eastAsia="en-GB"/>
        </w:rPr>
      </w:pPr>
      <w:r w:rsidRPr="00C537A9">
        <w:rPr>
          <w:rFonts w:eastAsia="Times New Roman" w:cs="Arial"/>
          <w:sz w:val="24"/>
          <w:szCs w:val="24"/>
          <w:lang w:val="en" w:eastAsia="en-GB"/>
        </w:rPr>
        <w:t>Tick the box for the correct option.</w:t>
      </w:r>
    </w:p>
    <w:tbl>
      <w:tblPr>
        <w:tblW w:w="10108" w:type="dxa"/>
        <w:tblCellSpacing w:w="15" w:type="dxa"/>
        <w:tblInd w:w="754" w:type="dxa"/>
        <w:tblCellMar>
          <w:top w:w="15" w:type="dxa"/>
          <w:left w:w="15" w:type="dxa"/>
          <w:bottom w:w="15" w:type="dxa"/>
          <w:right w:w="15" w:type="dxa"/>
        </w:tblCellMar>
        <w:tblLook w:val="04A0" w:firstRow="1" w:lastRow="0" w:firstColumn="1" w:lastColumn="0" w:noHBand="0" w:noVBand="1"/>
      </w:tblPr>
      <w:tblGrid>
        <w:gridCol w:w="360"/>
        <w:gridCol w:w="9279"/>
        <w:gridCol w:w="469"/>
      </w:tblGrid>
      <w:tr w:rsidR="00C537A9" w:rsidRPr="00C537A9" w:rsidTr="00C36DF8">
        <w:trPr>
          <w:tblCellSpacing w:w="15" w:type="dxa"/>
        </w:trPr>
        <w:tc>
          <w:tcPr>
            <w:tcW w:w="315"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A.</w:t>
            </w:r>
          </w:p>
        </w:tc>
        <w:tc>
          <w:tcPr>
            <w:tcW w:w="9249" w:type="dxa"/>
            <w:vAlign w:val="center"/>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Anti-embolism stockings throughout the admission</w:t>
            </w:r>
          </w:p>
        </w:tc>
        <w:tc>
          <w:tcPr>
            <w:tcW w:w="424" w:type="dxa"/>
          </w:tcPr>
          <w:sdt>
            <w:sdtPr>
              <w:rPr>
                <w:rFonts w:eastAsia="Times New Roman" w:cs="Arial"/>
                <w:sz w:val="24"/>
                <w:szCs w:val="24"/>
                <w:lang w:eastAsia="en-GB"/>
              </w:rPr>
              <w:id w:val="1397470332"/>
              <w14:checkbox>
                <w14:checked w14:val="0"/>
                <w14:checkedState w14:val="2612" w14:font="MS Gothic"/>
                <w14:uncheckedState w14:val="2610" w14:font="MS Gothic"/>
              </w14:checkbox>
            </w:sdtPr>
            <w:sdtEndPr/>
            <w:sdtContent>
              <w:p w:rsidR="00C36DF8" w:rsidRPr="00C537A9" w:rsidRDefault="007B74FA" w:rsidP="00467A84">
                <w:r w:rsidRPr="00C537A9">
                  <w:rPr>
                    <w:rFonts w:ascii="MS Gothic" w:eastAsia="MS Gothic" w:hAnsi="MS Gothic" w:cs="Arial" w:hint="eastAsia"/>
                    <w:sz w:val="24"/>
                    <w:szCs w:val="24"/>
                    <w:lang w:eastAsia="en-GB"/>
                  </w:rPr>
                  <w:t>☐</w:t>
                </w:r>
              </w:p>
            </w:sdtContent>
          </w:sdt>
        </w:tc>
      </w:tr>
      <w:tr w:rsidR="00C537A9" w:rsidRPr="00C537A9" w:rsidTr="00C36DF8">
        <w:trPr>
          <w:tblCellSpacing w:w="15" w:type="dxa"/>
        </w:trPr>
        <w:tc>
          <w:tcPr>
            <w:tcW w:w="315"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B.</w:t>
            </w:r>
          </w:p>
        </w:tc>
        <w:tc>
          <w:tcPr>
            <w:tcW w:w="9249" w:type="dxa"/>
            <w:vAlign w:val="center"/>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One of LMWH or fondaparinux throughout the admission</w:t>
            </w:r>
          </w:p>
        </w:tc>
        <w:tc>
          <w:tcPr>
            <w:tcW w:w="424" w:type="dxa"/>
          </w:tcPr>
          <w:sdt>
            <w:sdtPr>
              <w:rPr>
                <w:rFonts w:eastAsia="Times New Roman" w:cs="Arial"/>
                <w:sz w:val="24"/>
                <w:szCs w:val="24"/>
                <w:lang w:eastAsia="en-GB"/>
              </w:rPr>
              <w:id w:val="1272589259"/>
              <w14:checkbox>
                <w14:checked w14:val="0"/>
                <w14:checkedState w14:val="2612" w14:font="MS Gothic"/>
                <w14:uncheckedState w14:val="2610" w14:font="MS Gothic"/>
              </w14:checkbox>
            </w:sdtPr>
            <w:sdtEndPr/>
            <w:sdtContent>
              <w:p w:rsidR="00C36DF8" w:rsidRPr="00C537A9" w:rsidRDefault="00C36DF8" w:rsidP="00467A84">
                <w:r w:rsidRPr="00C537A9">
                  <w:rPr>
                    <w:rFonts w:ascii="MS Gothic" w:eastAsia="MS Gothic" w:hAnsi="MS Gothic" w:cs="Arial" w:hint="eastAsia"/>
                    <w:sz w:val="24"/>
                    <w:szCs w:val="24"/>
                    <w:lang w:eastAsia="en-GB"/>
                  </w:rPr>
                  <w:t>☐</w:t>
                </w:r>
              </w:p>
            </w:sdtContent>
          </w:sdt>
        </w:tc>
      </w:tr>
      <w:tr w:rsidR="00C537A9" w:rsidRPr="00C537A9" w:rsidTr="00C36DF8">
        <w:trPr>
          <w:tblCellSpacing w:w="15" w:type="dxa"/>
        </w:trPr>
        <w:tc>
          <w:tcPr>
            <w:tcW w:w="315"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C.</w:t>
            </w:r>
          </w:p>
        </w:tc>
        <w:tc>
          <w:tcPr>
            <w:tcW w:w="9249" w:type="dxa"/>
            <w:vAlign w:val="center"/>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No thromboprophylaxis is required, encourage mobilisation; review VTE risk assessment whenever his clinical condition changes</w:t>
            </w:r>
          </w:p>
        </w:tc>
        <w:tc>
          <w:tcPr>
            <w:tcW w:w="424" w:type="dxa"/>
          </w:tcPr>
          <w:sdt>
            <w:sdtPr>
              <w:rPr>
                <w:rFonts w:eastAsia="Times New Roman" w:cs="Arial"/>
                <w:sz w:val="24"/>
                <w:szCs w:val="24"/>
                <w:lang w:eastAsia="en-GB"/>
              </w:rPr>
              <w:id w:val="1309974413"/>
              <w14:checkbox>
                <w14:checked w14:val="0"/>
                <w14:checkedState w14:val="2612" w14:font="MS Gothic"/>
                <w14:uncheckedState w14:val="2610" w14:font="MS Gothic"/>
              </w14:checkbox>
            </w:sdtPr>
            <w:sdtEndPr/>
            <w:sdtContent>
              <w:p w:rsidR="00C36DF8" w:rsidRPr="00C537A9" w:rsidRDefault="00C36DF8" w:rsidP="00467A84">
                <w:r w:rsidRPr="00C537A9">
                  <w:rPr>
                    <w:rFonts w:ascii="MS Gothic" w:eastAsia="MS Gothic" w:hAnsi="MS Gothic" w:cs="Arial" w:hint="eastAsia"/>
                    <w:sz w:val="24"/>
                    <w:szCs w:val="24"/>
                    <w:lang w:eastAsia="en-GB"/>
                  </w:rPr>
                  <w:t>☐</w:t>
                </w:r>
              </w:p>
            </w:sdtContent>
          </w:sdt>
        </w:tc>
      </w:tr>
      <w:tr w:rsidR="00C537A9" w:rsidRPr="00C537A9" w:rsidTr="00C36DF8">
        <w:trPr>
          <w:tblCellSpacing w:w="15" w:type="dxa"/>
        </w:trPr>
        <w:tc>
          <w:tcPr>
            <w:tcW w:w="315" w:type="dxa"/>
            <w:vAlign w:val="center"/>
            <w:hideMark/>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D.</w:t>
            </w:r>
          </w:p>
        </w:tc>
        <w:tc>
          <w:tcPr>
            <w:tcW w:w="9249" w:type="dxa"/>
            <w:vAlign w:val="center"/>
          </w:tcPr>
          <w:p w:rsidR="00C36DF8" w:rsidRPr="00C537A9" w:rsidRDefault="00C36DF8" w:rsidP="00467A84">
            <w:pPr>
              <w:rPr>
                <w:rFonts w:eastAsia="Times New Roman" w:cs="Arial"/>
                <w:sz w:val="24"/>
                <w:szCs w:val="24"/>
                <w:lang w:eastAsia="en-GB"/>
              </w:rPr>
            </w:pPr>
            <w:r w:rsidRPr="00C537A9">
              <w:rPr>
                <w:rFonts w:eastAsia="Times New Roman" w:cs="Arial"/>
                <w:sz w:val="24"/>
                <w:szCs w:val="24"/>
                <w:lang w:eastAsia="en-GB"/>
              </w:rPr>
              <w:t>Either LMWH or fondaparinux and anti-embolism stockings throughout the admission</w:t>
            </w:r>
          </w:p>
        </w:tc>
        <w:tc>
          <w:tcPr>
            <w:tcW w:w="424" w:type="dxa"/>
          </w:tcPr>
          <w:sdt>
            <w:sdtPr>
              <w:rPr>
                <w:rFonts w:eastAsia="Times New Roman" w:cs="Arial"/>
                <w:sz w:val="24"/>
                <w:szCs w:val="24"/>
                <w:lang w:eastAsia="en-GB"/>
              </w:rPr>
              <w:id w:val="1163360729"/>
              <w14:checkbox>
                <w14:checked w14:val="0"/>
                <w14:checkedState w14:val="2612" w14:font="MS Gothic"/>
                <w14:uncheckedState w14:val="2610" w14:font="MS Gothic"/>
              </w14:checkbox>
            </w:sdtPr>
            <w:sdtEndPr/>
            <w:sdtContent>
              <w:p w:rsidR="00C36DF8" w:rsidRPr="00C537A9" w:rsidRDefault="00C36DF8" w:rsidP="00467A84">
                <w:r w:rsidRPr="00C537A9">
                  <w:rPr>
                    <w:rFonts w:ascii="MS Gothic" w:eastAsia="MS Gothic" w:hAnsi="MS Gothic" w:cs="Arial" w:hint="eastAsia"/>
                    <w:sz w:val="24"/>
                    <w:szCs w:val="24"/>
                    <w:lang w:eastAsia="en-GB"/>
                  </w:rPr>
                  <w:t>☐</w:t>
                </w:r>
              </w:p>
            </w:sdtContent>
          </w:sdt>
        </w:tc>
      </w:tr>
    </w:tbl>
    <w:p w:rsidR="00C36DF8" w:rsidRPr="00C537A9" w:rsidRDefault="00C36DF8" w:rsidP="00C36DF8">
      <w:pPr>
        <w:pStyle w:val="Heading2"/>
        <w:spacing w:before="0"/>
        <w:rPr>
          <w:rFonts w:asciiTheme="minorHAnsi" w:hAnsiTheme="minorHAnsi" w:cs="Arial"/>
          <w:color w:val="auto"/>
          <w:sz w:val="24"/>
          <w:szCs w:val="24"/>
          <w:lang w:val="en"/>
        </w:rPr>
      </w:pPr>
    </w:p>
    <w:p w:rsidR="00C36DF8" w:rsidRPr="00C537A9" w:rsidRDefault="00C36DF8">
      <w:pPr>
        <w:rPr>
          <w:rFonts w:eastAsiaTheme="majorEastAsia" w:cs="Arial"/>
          <w:b/>
          <w:bCs/>
          <w:sz w:val="24"/>
          <w:szCs w:val="24"/>
          <w:lang w:val="en"/>
        </w:rPr>
      </w:pPr>
      <w:r w:rsidRPr="00C537A9">
        <w:rPr>
          <w:rFonts w:cs="Arial"/>
          <w:sz w:val="24"/>
          <w:szCs w:val="24"/>
          <w:lang w:val="en"/>
        </w:rPr>
        <w:br w:type="page"/>
      </w:r>
    </w:p>
    <w:p w:rsidR="00DA22EA" w:rsidRPr="006C50DE" w:rsidRDefault="00DA22EA"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Case Study 3 Risk Assessment</w:t>
      </w:r>
    </w:p>
    <w:p w:rsidR="00C537A9" w:rsidRPr="00C537A9" w:rsidRDefault="00C537A9" w:rsidP="00C537A9">
      <w:pPr>
        <w:rPr>
          <w:rFonts w:eastAsia="Times New Roman" w:cs="Arial"/>
          <w:sz w:val="24"/>
          <w:szCs w:val="24"/>
          <w:lang w:val="en" w:eastAsia="en-GB"/>
        </w:rPr>
      </w:pPr>
    </w:p>
    <w:p w:rsidR="00C537A9" w:rsidRPr="00C537A9" w:rsidRDefault="00C537A9" w:rsidP="00C537A9">
      <w:pPr>
        <w:rPr>
          <w:rFonts w:eastAsia="Times New Roman" w:cs="Arial"/>
          <w:sz w:val="24"/>
          <w:szCs w:val="24"/>
          <w:lang w:val="en" w:eastAsia="en-GB"/>
        </w:rPr>
      </w:pPr>
      <w:r w:rsidRPr="00C537A9">
        <w:rPr>
          <w:rFonts w:eastAsia="Times New Roman" w:cs="Arial"/>
          <w:sz w:val="24"/>
          <w:szCs w:val="24"/>
          <w:lang w:val="en" w:eastAsia="en-GB"/>
        </w:rPr>
        <w:t>Undertake a risk assessment of this patient and select the appropriate risk category.  Answers for all 3 case studies are on the last page of this document.</w:t>
      </w:r>
    </w:p>
    <w:p w:rsidR="00C537A9" w:rsidRDefault="00C537A9" w:rsidP="00C36DF8">
      <w:pPr>
        <w:pStyle w:val="highlight"/>
        <w:spacing w:before="0" w:beforeAutospacing="0" w:after="0" w:afterAutospacing="0"/>
        <w:rPr>
          <w:rFonts w:asciiTheme="minorHAnsi" w:hAnsiTheme="minorHAnsi" w:cs="Arial"/>
          <w:lang w:val="en"/>
        </w:rPr>
      </w:pPr>
    </w:p>
    <w:p w:rsidR="004B2182" w:rsidRPr="00C537A9" w:rsidRDefault="004B2182" w:rsidP="00C36DF8">
      <w:pPr>
        <w:pStyle w:val="highlight"/>
        <w:spacing w:before="0" w:beforeAutospacing="0" w:after="0" w:afterAutospacing="0"/>
        <w:rPr>
          <w:rFonts w:asciiTheme="minorHAnsi" w:hAnsiTheme="minorHAnsi" w:cs="Arial"/>
          <w:lang w:val="en"/>
        </w:rPr>
      </w:pPr>
    </w:p>
    <w:p w:rsidR="00DA22EA" w:rsidRDefault="00DA22EA" w:rsidP="00C36DF8">
      <w:pPr>
        <w:pStyle w:val="highlight"/>
        <w:spacing w:before="0" w:beforeAutospacing="0" w:after="0" w:afterAutospacing="0"/>
        <w:rPr>
          <w:rFonts w:asciiTheme="minorHAnsi" w:hAnsiTheme="minorHAnsi" w:cs="Arial"/>
          <w:lang w:val="en"/>
        </w:rPr>
      </w:pPr>
      <w:r w:rsidRPr="00C537A9">
        <w:rPr>
          <w:rFonts w:asciiTheme="minorHAnsi" w:hAnsiTheme="minorHAnsi" w:cs="Arial"/>
          <w:lang w:val="en"/>
        </w:rPr>
        <w:t>A 70 year old female is admitted with left sided weakness; a stroke is suspected, and an ischaemic stroke is confirmed on CT. She has a past medical history of pulmonary embolism.</w:t>
      </w:r>
    </w:p>
    <w:p w:rsidR="004B2182" w:rsidRPr="00C537A9" w:rsidRDefault="004B2182" w:rsidP="00C36DF8">
      <w:pPr>
        <w:pStyle w:val="highlight"/>
        <w:spacing w:before="0" w:beforeAutospacing="0" w:after="0" w:afterAutospacing="0"/>
        <w:rPr>
          <w:rFonts w:asciiTheme="minorHAnsi" w:hAnsiTheme="minorHAnsi" w:cs="Arial"/>
          <w:lang w:val="en"/>
        </w:rPr>
      </w:pPr>
    </w:p>
    <w:p w:rsidR="00C537A9" w:rsidRPr="00C537A9" w:rsidRDefault="00C537A9" w:rsidP="00C36DF8">
      <w:pPr>
        <w:pStyle w:val="highlight"/>
        <w:spacing w:before="0" w:beforeAutospacing="0" w:after="0" w:afterAutospacing="0"/>
        <w:rPr>
          <w:rFonts w:asciiTheme="minorHAnsi" w:hAnsiTheme="minorHAnsi" w:cs="Arial"/>
          <w:lang w:val="en"/>
        </w:rPr>
      </w:pPr>
    </w:p>
    <w:p w:rsidR="00C537A9" w:rsidRPr="00C537A9" w:rsidRDefault="004B2182" w:rsidP="006C50DE">
      <w:pPr>
        <w:pStyle w:val="ListParagraph"/>
        <w:numPr>
          <w:ilvl w:val="0"/>
          <w:numId w:val="30"/>
        </w:numPr>
        <w:rPr>
          <w:rFonts w:cs="Arial"/>
          <w:sz w:val="24"/>
          <w:szCs w:val="24"/>
          <w:u w:val="single"/>
          <w:lang w:val="en"/>
        </w:rPr>
      </w:pPr>
      <w:r>
        <w:rPr>
          <w:rFonts w:eastAsia="Times New Roman" w:cs="Arial"/>
          <w:noProof/>
          <w:sz w:val="24"/>
          <w:szCs w:val="24"/>
          <w:lang w:eastAsia="en-GB"/>
        </w:rPr>
        <w:drawing>
          <wp:anchor distT="0" distB="0" distL="114300" distR="114300" simplePos="0" relativeHeight="251688960" behindDoc="0" locked="0" layoutInCell="1" allowOverlap="1" wp14:anchorId="012E7032" wp14:editId="6D92D5A6">
            <wp:simplePos x="0" y="0"/>
            <wp:positionH relativeFrom="column">
              <wp:posOffset>3498850</wp:posOffset>
            </wp:positionH>
            <wp:positionV relativeFrom="paragraph">
              <wp:posOffset>17145</wp:posOffset>
            </wp:positionV>
            <wp:extent cx="3382010" cy="2565400"/>
            <wp:effectExtent l="0" t="0" r="889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3.jpg"/>
                    <pic:cNvPicPr/>
                  </pic:nvPicPr>
                  <pic:blipFill>
                    <a:blip r:embed="rId44">
                      <a:extLst>
                        <a:ext uri="{28A0092B-C50C-407E-A947-70E740481C1C}">
                          <a14:useLocalDpi xmlns:a14="http://schemas.microsoft.com/office/drawing/2010/main" val="0"/>
                        </a:ext>
                      </a:extLst>
                    </a:blip>
                    <a:stretch>
                      <a:fillRect/>
                    </a:stretch>
                  </pic:blipFill>
                  <pic:spPr>
                    <a:xfrm>
                      <a:off x="0" y="0"/>
                      <a:ext cx="3382010" cy="2565400"/>
                    </a:xfrm>
                    <a:prstGeom prst="rect">
                      <a:avLst/>
                    </a:prstGeom>
                  </pic:spPr>
                </pic:pic>
              </a:graphicData>
            </a:graphic>
            <wp14:sizeRelH relativeFrom="page">
              <wp14:pctWidth>0</wp14:pctWidth>
            </wp14:sizeRelH>
            <wp14:sizeRelV relativeFrom="page">
              <wp14:pctHeight>0</wp14:pctHeight>
            </wp14:sizeRelV>
          </wp:anchor>
        </w:drawing>
      </w:r>
      <w:r w:rsidR="00C537A9" w:rsidRPr="00C537A9">
        <w:rPr>
          <w:rFonts w:cs="Arial"/>
          <w:sz w:val="24"/>
          <w:szCs w:val="24"/>
          <w:u w:val="single"/>
          <w:lang w:val="en"/>
        </w:rPr>
        <w:t>Risk Assessment</w:t>
      </w:r>
    </w:p>
    <w:p w:rsidR="00C537A9" w:rsidRPr="00C537A9" w:rsidRDefault="00C537A9" w:rsidP="00C537A9">
      <w:pPr>
        <w:rPr>
          <w:rFonts w:eastAsia="Times New Roman" w:cs="Arial"/>
          <w:sz w:val="24"/>
          <w:szCs w:val="24"/>
          <w:lang w:val="en" w:eastAsia="en-GB"/>
        </w:rPr>
      </w:pPr>
    </w:p>
    <w:p w:rsidR="00C537A9" w:rsidRPr="00C537A9" w:rsidRDefault="00C537A9" w:rsidP="00C537A9">
      <w:pPr>
        <w:ind w:left="709"/>
        <w:rPr>
          <w:rFonts w:eastAsia="Times New Roman" w:cs="Arial"/>
          <w:sz w:val="24"/>
          <w:szCs w:val="24"/>
          <w:lang w:val="en" w:eastAsia="en-GB"/>
        </w:rPr>
      </w:pPr>
      <w:r w:rsidRPr="00C537A9">
        <w:rPr>
          <w:rFonts w:eastAsia="Times New Roman" w:cs="Arial"/>
          <w:sz w:val="24"/>
          <w:szCs w:val="24"/>
          <w:lang w:val="en" w:eastAsia="en-GB"/>
        </w:rPr>
        <w:t>Tick the box for the correct option.</w:t>
      </w:r>
    </w:p>
    <w:tbl>
      <w:tblPr>
        <w:tblW w:w="0" w:type="auto"/>
        <w:tblCellSpacing w:w="15" w:type="dxa"/>
        <w:tblInd w:w="754" w:type="dxa"/>
        <w:tblCellMar>
          <w:top w:w="15" w:type="dxa"/>
          <w:left w:w="15" w:type="dxa"/>
          <w:bottom w:w="15" w:type="dxa"/>
          <w:right w:w="15" w:type="dxa"/>
        </w:tblCellMar>
        <w:tblLook w:val="04A0" w:firstRow="1" w:lastRow="0" w:firstColumn="1" w:lastColumn="0" w:noHBand="0" w:noVBand="1"/>
      </w:tblPr>
      <w:tblGrid>
        <w:gridCol w:w="392"/>
        <w:gridCol w:w="3872"/>
        <w:gridCol w:w="402"/>
      </w:tblGrid>
      <w:tr w:rsidR="00C537A9" w:rsidRPr="00C537A9" w:rsidTr="00467A84">
        <w:trPr>
          <w:tblCellSpacing w:w="15" w:type="dxa"/>
        </w:trPr>
        <w:tc>
          <w:tcPr>
            <w:tcW w:w="380"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A.</w:t>
            </w:r>
          </w:p>
        </w:tc>
        <w:tc>
          <w:tcPr>
            <w:tcW w:w="4648"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Low risk for VTE</w:t>
            </w:r>
          </w:p>
        </w:tc>
        <w:tc>
          <w:tcPr>
            <w:tcW w:w="380" w:type="dxa"/>
          </w:tcPr>
          <w:sdt>
            <w:sdtPr>
              <w:rPr>
                <w:rFonts w:eastAsia="Times New Roman" w:cs="Arial"/>
                <w:sz w:val="24"/>
                <w:szCs w:val="24"/>
                <w:lang w:eastAsia="en-GB"/>
              </w:rPr>
              <w:id w:val="-676259270"/>
              <w14:checkbox>
                <w14:checked w14:val="0"/>
                <w14:checkedState w14:val="2612" w14:font="MS Gothic"/>
                <w14:uncheckedState w14:val="2610" w14:font="MS Gothic"/>
              </w14:checkbox>
            </w:sdtPr>
            <w:sdtEndPr/>
            <w:sdtContent>
              <w:p w:rsidR="00C537A9" w:rsidRPr="00C537A9" w:rsidRDefault="00C537A9"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467A84">
        <w:trPr>
          <w:tblCellSpacing w:w="15" w:type="dxa"/>
        </w:trPr>
        <w:tc>
          <w:tcPr>
            <w:tcW w:w="380"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B.</w:t>
            </w:r>
          </w:p>
        </w:tc>
        <w:tc>
          <w:tcPr>
            <w:tcW w:w="4648"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High risk for VTE and low risk for bleeding</w:t>
            </w:r>
          </w:p>
        </w:tc>
        <w:tc>
          <w:tcPr>
            <w:tcW w:w="380" w:type="dxa"/>
          </w:tcPr>
          <w:sdt>
            <w:sdtPr>
              <w:rPr>
                <w:rFonts w:eastAsia="Times New Roman" w:cs="Arial"/>
                <w:sz w:val="24"/>
                <w:szCs w:val="24"/>
                <w:lang w:eastAsia="en-GB"/>
              </w:rPr>
              <w:id w:val="1925442326"/>
              <w14:checkbox>
                <w14:checked w14:val="0"/>
                <w14:checkedState w14:val="2612" w14:font="MS Gothic"/>
                <w14:uncheckedState w14:val="2610" w14:font="MS Gothic"/>
              </w14:checkbox>
            </w:sdtPr>
            <w:sdtEndPr/>
            <w:sdtContent>
              <w:p w:rsidR="00C537A9" w:rsidRPr="00C537A9" w:rsidRDefault="00C537A9"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r w:rsidR="00C537A9" w:rsidRPr="00C537A9" w:rsidTr="00467A84">
        <w:trPr>
          <w:tblCellSpacing w:w="15" w:type="dxa"/>
        </w:trPr>
        <w:tc>
          <w:tcPr>
            <w:tcW w:w="380"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C.</w:t>
            </w:r>
          </w:p>
        </w:tc>
        <w:tc>
          <w:tcPr>
            <w:tcW w:w="4648"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High risk for VTE and high risk for bleeding</w:t>
            </w:r>
          </w:p>
        </w:tc>
        <w:tc>
          <w:tcPr>
            <w:tcW w:w="380" w:type="dxa"/>
          </w:tcPr>
          <w:sdt>
            <w:sdtPr>
              <w:rPr>
                <w:rFonts w:eastAsia="Times New Roman" w:cs="Arial"/>
                <w:sz w:val="24"/>
                <w:szCs w:val="24"/>
                <w:lang w:eastAsia="en-GB"/>
              </w:rPr>
              <w:id w:val="391474221"/>
              <w14:checkbox>
                <w14:checked w14:val="0"/>
                <w14:checkedState w14:val="2612" w14:font="MS Gothic"/>
                <w14:uncheckedState w14:val="2610" w14:font="MS Gothic"/>
              </w14:checkbox>
            </w:sdtPr>
            <w:sdtEndPr/>
            <w:sdtContent>
              <w:p w:rsidR="00C537A9" w:rsidRPr="00C537A9" w:rsidRDefault="00C537A9" w:rsidP="00467A84">
                <w:pPr>
                  <w:rPr>
                    <w:rFonts w:eastAsia="Times New Roman" w:cs="Arial"/>
                    <w:sz w:val="24"/>
                    <w:szCs w:val="24"/>
                    <w:lang w:eastAsia="en-GB"/>
                  </w:rPr>
                </w:pPr>
                <w:r w:rsidRPr="00C537A9">
                  <w:rPr>
                    <w:rFonts w:ascii="MS Gothic" w:eastAsia="MS Gothic" w:hAnsi="MS Gothic" w:cs="Arial" w:hint="eastAsia"/>
                    <w:sz w:val="24"/>
                    <w:szCs w:val="24"/>
                    <w:lang w:eastAsia="en-GB"/>
                  </w:rPr>
                  <w:t>☐</w:t>
                </w:r>
              </w:p>
            </w:sdtContent>
          </w:sdt>
        </w:tc>
      </w:tr>
    </w:tbl>
    <w:p w:rsidR="00C537A9" w:rsidRDefault="00C537A9" w:rsidP="00C537A9">
      <w:pPr>
        <w:rPr>
          <w:rFonts w:cs="Arial"/>
          <w:sz w:val="24"/>
          <w:szCs w:val="24"/>
          <w:lang w:val="en"/>
        </w:rPr>
      </w:pPr>
    </w:p>
    <w:p w:rsidR="004B2182" w:rsidRDefault="004B2182" w:rsidP="00C537A9">
      <w:pPr>
        <w:rPr>
          <w:rFonts w:cs="Arial"/>
          <w:sz w:val="24"/>
          <w:szCs w:val="24"/>
          <w:lang w:val="en"/>
        </w:rPr>
      </w:pPr>
    </w:p>
    <w:p w:rsidR="004B2182" w:rsidRDefault="004B2182" w:rsidP="00C537A9">
      <w:pPr>
        <w:rPr>
          <w:rFonts w:cs="Arial"/>
          <w:sz w:val="24"/>
          <w:szCs w:val="24"/>
          <w:lang w:val="en"/>
        </w:rPr>
      </w:pPr>
    </w:p>
    <w:p w:rsidR="004B2182" w:rsidRDefault="004B2182" w:rsidP="00C537A9">
      <w:pPr>
        <w:rPr>
          <w:rFonts w:cs="Arial"/>
          <w:sz w:val="24"/>
          <w:szCs w:val="24"/>
          <w:lang w:val="en"/>
        </w:rPr>
      </w:pPr>
    </w:p>
    <w:p w:rsidR="004B2182" w:rsidRDefault="004B2182" w:rsidP="00C537A9">
      <w:pPr>
        <w:rPr>
          <w:rFonts w:cs="Arial"/>
          <w:sz w:val="24"/>
          <w:szCs w:val="24"/>
          <w:lang w:val="en"/>
        </w:rPr>
      </w:pPr>
    </w:p>
    <w:p w:rsidR="004B2182" w:rsidRDefault="004B2182" w:rsidP="00C537A9">
      <w:pPr>
        <w:rPr>
          <w:rFonts w:cs="Arial"/>
          <w:sz w:val="24"/>
          <w:szCs w:val="24"/>
          <w:lang w:val="en"/>
        </w:rPr>
      </w:pPr>
    </w:p>
    <w:p w:rsidR="004B2182" w:rsidRPr="00C537A9" w:rsidRDefault="004B2182" w:rsidP="00C537A9">
      <w:pPr>
        <w:rPr>
          <w:rFonts w:cs="Arial"/>
          <w:sz w:val="24"/>
          <w:szCs w:val="24"/>
          <w:lang w:val="en"/>
        </w:rPr>
      </w:pPr>
    </w:p>
    <w:p w:rsidR="00C537A9" w:rsidRPr="00C537A9" w:rsidRDefault="00C537A9" w:rsidP="006C50DE">
      <w:pPr>
        <w:pStyle w:val="ListParagraph"/>
        <w:numPr>
          <w:ilvl w:val="0"/>
          <w:numId w:val="30"/>
        </w:numPr>
        <w:rPr>
          <w:rFonts w:cs="Arial"/>
          <w:sz w:val="24"/>
          <w:szCs w:val="24"/>
          <w:u w:val="single"/>
          <w:lang w:val="en"/>
        </w:rPr>
      </w:pPr>
      <w:r w:rsidRPr="00C537A9">
        <w:rPr>
          <w:rFonts w:cs="Arial"/>
          <w:sz w:val="24"/>
          <w:szCs w:val="24"/>
          <w:u w:val="single"/>
          <w:lang w:val="en"/>
        </w:rPr>
        <w:t>The Correct Form of Thromboprophylaxis</w:t>
      </w:r>
    </w:p>
    <w:p w:rsidR="00C537A9" w:rsidRPr="00C537A9" w:rsidRDefault="00C537A9" w:rsidP="00C537A9">
      <w:pPr>
        <w:pStyle w:val="ListParagraph"/>
        <w:rPr>
          <w:rFonts w:cs="Arial"/>
          <w:sz w:val="24"/>
          <w:szCs w:val="24"/>
          <w:u w:val="single"/>
          <w:lang w:val="en"/>
        </w:rPr>
      </w:pPr>
    </w:p>
    <w:p w:rsidR="00C537A9" w:rsidRPr="00C537A9" w:rsidRDefault="00C537A9" w:rsidP="00C537A9">
      <w:pPr>
        <w:ind w:left="709"/>
        <w:rPr>
          <w:rFonts w:eastAsia="Times New Roman" w:cs="Arial"/>
          <w:sz w:val="24"/>
          <w:szCs w:val="24"/>
          <w:lang w:val="en" w:eastAsia="en-GB"/>
        </w:rPr>
      </w:pPr>
      <w:r w:rsidRPr="00C537A9">
        <w:rPr>
          <w:rFonts w:eastAsia="Times New Roman" w:cs="Arial"/>
          <w:sz w:val="24"/>
          <w:szCs w:val="24"/>
          <w:lang w:val="en" w:eastAsia="en-GB"/>
        </w:rPr>
        <w:t>Tick the box for the correct option.</w:t>
      </w:r>
    </w:p>
    <w:tbl>
      <w:tblPr>
        <w:tblW w:w="10108" w:type="dxa"/>
        <w:tblCellSpacing w:w="15" w:type="dxa"/>
        <w:tblInd w:w="754" w:type="dxa"/>
        <w:tblCellMar>
          <w:top w:w="15" w:type="dxa"/>
          <w:left w:w="15" w:type="dxa"/>
          <w:bottom w:w="15" w:type="dxa"/>
          <w:right w:w="15" w:type="dxa"/>
        </w:tblCellMar>
        <w:tblLook w:val="04A0" w:firstRow="1" w:lastRow="0" w:firstColumn="1" w:lastColumn="0" w:noHBand="0" w:noVBand="1"/>
      </w:tblPr>
      <w:tblGrid>
        <w:gridCol w:w="360"/>
        <w:gridCol w:w="9279"/>
        <w:gridCol w:w="469"/>
      </w:tblGrid>
      <w:tr w:rsidR="00C537A9" w:rsidRPr="00C537A9" w:rsidTr="00C537A9">
        <w:trPr>
          <w:tblCellSpacing w:w="15" w:type="dxa"/>
        </w:trPr>
        <w:tc>
          <w:tcPr>
            <w:tcW w:w="315"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A.</w:t>
            </w:r>
          </w:p>
        </w:tc>
        <w:tc>
          <w:tcPr>
            <w:tcW w:w="9249" w:type="dxa"/>
            <w:vAlign w:val="center"/>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Pharmacological and mechanical thromboprophylaxis until acute event resolved and clinical condition stabilised</w:t>
            </w:r>
          </w:p>
        </w:tc>
        <w:tc>
          <w:tcPr>
            <w:tcW w:w="424" w:type="dxa"/>
          </w:tcPr>
          <w:sdt>
            <w:sdtPr>
              <w:rPr>
                <w:rFonts w:eastAsia="Times New Roman" w:cs="Arial"/>
                <w:sz w:val="24"/>
                <w:szCs w:val="24"/>
                <w:lang w:eastAsia="en-GB"/>
              </w:rPr>
              <w:id w:val="1406724401"/>
              <w14:checkbox>
                <w14:checked w14:val="0"/>
                <w14:checkedState w14:val="2612" w14:font="MS Gothic"/>
                <w14:uncheckedState w14:val="2610" w14:font="MS Gothic"/>
              </w14:checkbox>
            </w:sdtPr>
            <w:sdtEndPr/>
            <w:sdtContent>
              <w:p w:rsidR="00C537A9" w:rsidRPr="00C537A9" w:rsidRDefault="00C537A9" w:rsidP="00467A84">
                <w:r w:rsidRPr="00C537A9">
                  <w:rPr>
                    <w:rFonts w:ascii="MS Gothic" w:eastAsia="MS Gothic" w:hAnsi="MS Gothic" w:cs="Arial" w:hint="eastAsia"/>
                    <w:sz w:val="24"/>
                    <w:szCs w:val="24"/>
                    <w:lang w:eastAsia="en-GB"/>
                  </w:rPr>
                  <w:t>☐</w:t>
                </w:r>
              </w:p>
            </w:sdtContent>
          </w:sdt>
        </w:tc>
      </w:tr>
      <w:tr w:rsidR="00C537A9" w:rsidRPr="00C537A9" w:rsidTr="00C537A9">
        <w:trPr>
          <w:tblCellSpacing w:w="15" w:type="dxa"/>
        </w:trPr>
        <w:tc>
          <w:tcPr>
            <w:tcW w:w="315"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B.</w:t>
            </w:r>
          </w:p>
        </w:tc>
        <w:tc>
          <w:tcPr>
            <w:tcW w:w="9249" w:type="dxa"/>
            <w:vAlign w:val="center"/>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Antiembolism stockings until normal mobility regained</w:t>
            </w:r>
          </w:p>
        </w:tc>
        <w:tc>
          <w:tcPr>
            <w:tcW w:w="424" w:type="dxa"/>
          </w:tcPr>
          <w:sdt>
            <w:sdtPr>
              <w:rPr>
                <w:rFonts w:eastAsia="Times New Roman" w:cs="Arial"/>
                <w:sz w:val="24"/>
                <w:szCs w:val="24"/>
                <w:lang w:eastAsia="en-GB"/>
              </w:rPr>
              <w:id w:val="1934861319"/>
              <w14:checkbox>
                <w14:checked w14:val="0"/>
                <w14:checkedState w14:val="2612" w14:font="MS Gothic"/>
                <w14:uncheckedState w14:val="2610" w14:font="MS Gothic"/>
              </w14:checkbox>
            </w:sdtPr>
            <w:sdtEndPr/>
            <w:sdtContent>
              <w:p w:rsidR="00C537A9" w:rsidRPr="00C537A9" w:rsidRDefault="00C537A9" w:rsidP="00467A84">
                <w:r w:rsidRPr="00C537A9">
                  <w:rPr>
                    <w:rFonts w:ascii="MS Gothic" w:eastAsia="MS Gothic" w:hAnsi="MS Gothic" w:cs="Arial" w:hint="eastAsia"/>
                    <w:sz w:val="24"/>
                    <w:szCs w:val="24"/>
                    <w:lang w:eastAsia="en-GB"/>
                  </w:rPr>
                  <w:t>☐</w:t>
                </w:r>
              </w:p>
            </w:sdtContent>
          </w:sdt>
        </w:tc>
      </w:tr>
      <w:tr w:rsidR="00C537A9" w:rsidRPr="00C537A9" w:rsidTr="00C537A9">
        <w:trPr>
          <w:tblCellSpacing w:w="15" w:type="dxa"/>
        </w:trPr>
        <w:tc>
          <w:tcPr>
            <w:tcW w:w="315"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C.</w:t>
            </w:r>
          </w:p>
        </w:tc>
        <w:tc>
          <w:tcPr>
            <w:tcW w:w="9249" w:type="dxa"/>
            <w:vAlign w:val="center"/>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Consider the risk of haemorrhagic transformation (bleeding into area of ischaemia) and if low prescribe pharmacological thromboprophylaxis until acute event resolves and patient's clinical condition stabilises</w:t>
            </w:r>
          </w:p>
        </w:tc>
        <w:tc>
          <w:tcPr>
            <w:tcW w:w="424" w:type="dxa"/>
          </w:tcPr>
          <w:sdt>
            <w:sdtPr>
              <w:rPr>
                <w:rFonts w:eastAsia="Times New Roman" w:cs="Arial"/>
                <w:sz w:val="24"/>
                <w:szCs w:val="24"/>
                <w:lang w:eastAsia="en-GB"/>
              </w:rPr>
              <w:id w:val="-116068797"/>
              <w14:checkbox>
                <w14:checked w14:val="0"/>
                <w14:checkedState w14:val="2612" w14:font="MS Gothic"/>
                <w14:uncheckedState w14:val="2610" w14:font="MS Gothic"/>
              </w14:checkbox>
            </w:sdtPr>
            <w:sdtEndPr/>
            <w:sdtContent>
              <w:p w:rsidR="00C537A9" w:rsidRPr="00C537A9" w:rsidRDefault="00C537A9" w:rsidP="00467A84">
                <w:r w:rsidRPr="00C537A9">
                  <w:rPr>
                    <w:rFonts w:ascii="MS Gothic" w:eastAsia="MS Gothic" w:hAnsi="MS Gothic" w:cs="Arial" w:hint="eastAsia"/>
                    <w:sz w:val="24"/>
                    <w:szCs w:val="24"/>
                    <w:lang w:eastAsia="en-GB"/>
                  </w:rPr>
                  <w:t>☐</w:t>
                </w:r>
              </w:p>
            </w:sdtContent>
          </w:sdt>
        </w:tc>
      </w:tr>
      <w:tr w:rsidR="00C537A9" w:rsidRPr="00C537A9" w:rsidTr="00C537A9">
        <w:trPr>
          <w:tblCellSpacing w:w="15" w:type="dxa"/>
        </w:trPr>
        <w:tc>
          <w:tcPr>
            <w:tcW w:w="315" w:type="dxa"/>
            <w:vAlign w:val="center"/>
            <w:hideMark/>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D.</w:t>
            </w:r>
          </w:p>
        </w:tc>
        <w:tc>
          <w:tcPr>
            <w:tcW w:w="9249" w:type="dxa"/>
            <w:vAlign w:val="center"/>
          </w:tcPr>
          <w:p w:rsidR="00C537A9" w:rsidRPr="00C537A9" w:rsidRDefault="00C537A9" w:rsidP="00467A84">
            <w:pPr>
              <w:rPr>
                <w:rFonts w:eastAsia="Times New Roman" w:cs="Arial"/>
                <w:sz w:val="24"/>
                <w:szCs w:val="24"/>
                <w:lang w:eastAsia="en-GB"/>
              </w:rPr>
            </w:pPr>
            <w:r w:rsidRPr="00C537A9">
              <w:rPr>
                <w:rFonts w:eastAsia="Times New Roman" w:cs="Arial"/>
                <w:sz w:val="24"/>
                <w:szCs w:val="24"/>
                <w:lang w:eastAsia="en-GB"/>
              </w:rPr>
              <w:t>Antiembolism stockings and if low risk of haemorrhagic transformation (bleeding into area of ischaemia) prescribe pharmacological thromboprophylaxis until acute event resolved and patient's clinical condition stabilises</w:t>
            </w:r>
          </w:p>
        </w:tc>
        <w:tc>
          <w:tcPr>
            <w:tcW w:w="424" w:type="dxa"/>
          </w:tcPr>
          <w:sdt>
            <w:sdtPr>
              <w:rPr>
                <w:rFonts w:eastAsia="Times New Roman" w:cs="Arial"/>
                <w:sz w:val="24"/>
                <w:szCs w:val="24"/>
                <w:lang w:eastAsia="en-GB"/>
              </w:rPr>
              <w:id w:val="-93560017"/>
              <w14:checkbox>
                <w14:checked w14:val="0"/>
                <w14:checkedState w14:val="2612" w14:font="MS Gothic"/>
                <w14:uncheckedState w14:val="2610" w14:font="MS Gothic"/>
              </w14:checkbox>
            </w:sdtPr>
            <w:sdtEndPr/>
            <w:sdtContent>
              <w:p w:rsidR="00C537A9" w:rsidRPr="00C537A9" w:rsidRDefault="00C537A9" w:rsidP="00467A84">
                <w:r w:rsidRPr="00C537A9">
                  <w:rPr>
                    <w:rFonts w:ascii="MS Gothic" w:eastAsia="MS Gothic" w:hAnsi="MS Gothic" w:cs="Arial" w:hint="eastAsia"/>
                    <w:sz w:val="24"/>
                    <w:szCs w:val="24"/>
                    <w:lang w:eastAsia="en-GB"/>
                  </w:rPr>
                  <w:t>☐</w:t>
                </w:r>
              </w:p>
            </w:sdtContent>
          </w:sdt>
        </w:tc>
      </w:tr>
    </w:tbl>
    <w:p w:rsidR="00DA22EA" w:rsidRPr="00C537A9" w:rsidRDefault="00DA22EA" w:rsidP="00C36DF8">
      <w:pPr>
        <w:rPr>
          <w:rFonts w:eastAsiaTheme="majorEastAsia" w:cs="Arial"/>
          <w:b/>
          <w:bCs/>
          <w:sz w:val="24"/>
          <w:szCs w:val="24"/>
          <w:lang w:val="en"/>
        </w:rPr>
      </w:pPr>
      <w:r w:rsidRPr="00C537A9">
        <w:rPr>
          <w:rFonts w:cs="Arial"/>
          <w:sz w:val="24"/>
          <w:szCs w:val="24"/>
          <w:lang w:val="en"/>
        </w:rPr>
        <w:br w:type="page"/>
      </w:r>
    </w:p>
    <w:p w:rsidR="00C537A9" w:rsidRPr="006C50DE" w:rsidRDefault="00C537A9"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Session Summary</w:t>
      </w:r>
    </w:p>
    <w:p w:rsidR="00C537A9" w:rsidRDefault="00C537A9" w:rsidP="00C36DF8">
      <w:pPr>
        <w:pStyle w:val="Heading2"/>
        <w:spacing w:before="0"/>
        <w:rPr>
          <w:rFonts w:asciiTheme="minorHAnsi" w:hAnsiTheme="minorHAnsi" w:cs="Arial"/>
          <w:color w:val="auto"/>
          <w:sz w:val="24"/>
          <w:szCs w:val="24"/>
          <w:lang w:val="en"/>
        </w:rPr>
      </w:pPr>
    </w:p>
    <w:p w:rsidR="004B2182" w:rsidRPr="004B2182" w:rsidRDefault="004B2182" w:rsidP="004B2182">
      <w:pPr>
        <w:rPr>
          <w:lang w:val="en"/>
        </w:rPr>
      </w:pPr>
    </w:p>
    <w:p w:rsidR="00DA22EA" w:rsidRPr="00C537A9" w:rsidRDefault="00DA22EA" w:rsidP="00C36DF8">
      <w:pPr>
        <w:pStyle w:val="Heading2"/>
        <w:spacing w:before="0"/>
        <w:rPr>
          <w:rFonts w:asciiTheme="minorHAnsi" w:hAnsiTheme="minorHAnsi" w:cs="Arial"/>
          <w:b w:val="0"/>
          <w:color w:val="auto"/>
          <w:sz w:val="24"/>
          <w:szCs w:val="24"/>
          <w:u w:val="single"/>
          <w:lang w:val="en"/>
        </w:rPr>
      </w:pPr>
      <w:r w:rsidRPr="00C537A9">
        <w:rPr>
          <w:rFonts w:asciiTheme="minorHAnsi" w:hAnsiTheme="minorHAnsi" w:cs="Arial"/>
          <w:b w:val="0"/>
          <w:color w:val="auto"/>
          <w:sz w:val="24"/>
          <w:szCs w:val="24"/>
          <w:u w:val="single"/>
          <w:lang w:val="en"/>
        </w:rPr>
        <w:t>Key Points</w:t>
      </w:r>
    </w:p>
    <w:p w:rsidR="00C537A9" w:rsidRPr="00C537A9" w:rsidRDefault="00C537A9" w:rsidP="00C537A9">
      <w:pPr>
        <w:rPr>
          <w:lang w:val="en"/>
        </w:rPr>
      </w:pPr>
    </w:p>
    <w:p w:rsidR="00DA22EA" w:rsidRPr="00C537A9" w:rsidRDefault="00DA22EA" w:rsidP="00C537A9">
      <w:pPr>
        <w:spacing w:after="120"/>
        <w:rPr>
          <w:rFonts w:eastAsia="Times New Roman" w:cs="Arial"/>
          <w:sz w:val="24"/>
          <w:szCs w:val="24"/>
          <w:lang w:val="en" w:eastAsia="en-GB"/>
        </w:rPr>
      </w:pPr>
      <w:r w:rsidRPr="00C537A9">
        <w:rPr>
          <w:rFonts w:eastAsia="Times New Roman" w:cs="Arial"/>
          <w:sz w:val="24"/>
          <w:szCs w:val="24"/>
          <w:lang w:val="en" w:eastAsia="en-GB"/>
        </w:rPr>
        <w:t>In this session you have looked at:</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The guidelines associated with VTE prevention</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What is required to achieve the National CQUIN goal for VTE prevention</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How to assess patients for their risk of VTE</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How to perform a root cause analysis of a VTE event</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The provision of appropriate information on VTE prevention to patients</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The different types of thromboprophylaxis and how they relate to and endeavour to prevent the formation of VTE</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How the different methods of thromboprophylaxis are used in different population groups at risk of VTE</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How to identify which steps of the VTE prevention pathway are necessary to audit</w:t>
      </w:r>
    </w:p>
    <w:p w:rsidR="00DA22EA" w:rsidRPr="00C537A9" w:rsidRDefault="00DA22EA" w:rsidP="006C50DE">
      <w:pPr>
        <w:numPr>
          <w:ilvl w:val="0"/>
          <w:numId w:val="31"/>
        </w:numPr>
        <w:rPr>
          <w:rFonts w:eastAsia="Times New Roman" w:cs="Arial"/>
          <w:sz w:val="24"/>
          <w:szCs w:val="24"/>
          <w:lang w:val="en" w:eastAsia="en-GB"/>
        </w:rPr>
      </w:pPr>
      <w:r w:rsidRPr="00C537A9">
        <w:rPr>
          <w:rFonts w:eastAsia="Times New Roman" w:cs="Arial"/>
          <w:sz w:val="24"/>
          <w:szCs w:val="24"/>
          <w:lang w:val="en" w:eastAsia="en-GB"/>
        </w:rPr>
        <w:t>The role of primary care in VTE prevention</w:t>
      </w:r>
    </w:p>
    <w:p w:rsidR="00C537A9" w:rsidRDefault="00C537A9" w:rsidP="00C36DF8">
      <w:pPr>
        <w:pStyle w:val="Heading2"/>
        <w:spacing w:before="0"/>
        <w:rPr>
          <w:rFonts w:asciiTheme="minorHAnsi" w:hAnsiTheme="minorHAnsi" w:cs="Arial"/>
          <w:color w:val="auto"/>
          <w:sz w:val="24"/>
          <w:szCs w:val="24"/>
          <w:lang w:val="en"/>
        </w:rPr>
      </w:pPr>
    </w:p>
    <w:p w:rsidR="004B2182" w:rsidRPr="004B2182" w:rsidRDefault="004B2182" w:rsidP="004B2182">
      <w:pPr>
        <w:rPr>
          <w:lang w:val="en"/>
        </w:rPr>
      </w:pPr>
    </w:p>
    <w:p w:rsidR="00DA22EA" w:rsidRDefault="00DA22EA" w:rsidP="00C537A9">
      <w:pPr>
        <w:pStyle w:val="Heading2"/>
        <w:spacing w:before="0"/>
        <w:rPr>
          <w:rFonts w:asciiTheme="minorHAnsi" w:hAnsiTheme="minorHAnsi" w:cs="Arial"/>
          <w:b w:val="0"/>
          <w:color w:val="auto"/>
          <w:sz w:val="24"/>
          <w:szCs w:val="24"/>
          <w:u w:val="single"/>
          <w:lang w:val="en"/>
        </w:rPr>
      </w:pPr>
      <w:r w:rsidRPr="00C537A9">
        <w:rPr>
          <w:rFonts w:asciiTheme="minorHAnsi" w:hAnsiTheme="minorHAnsi" w:cs="Arial"/>
          <w:b w:val="0"/>
          <w:color w:val="auto"/>
          <w:sz w:val="24"/>
          <w:szCs w:val="24"/>
          <w:u w:val="single"/>
          <w:lang w:val="en"/>
        </w:rPr>
        <w:t>Learning Objectives</w:t>
      </w:r>
    </w:p>
    <w:p w:rsidR="00C537A9" w:rsidRPr="00C537A9" w:rsidRDefault="00C537A9" w:rsidP="00C537A9">
      <w:pPr>
        <w:rPr>
          <w:lang w:val="en"/>
        </w:rPr>
      </w:pPr>
    </w:p>
    <w:p w:rsidR="00DA22EA" w:rsidRPr="00C537A9" w:rsidRDefault="00DA22EA" w:rsidP="00C537A9">
      <w:pPr>
        <w:spacing w:after="120"/>
        <w:rPr>
          <w:rFonts w:eastAsia="Times New Roman" w:cs="Arial"/>
          <w:sz w:val="24"/>
          <w:szCs w:val="24"/>
          <w:lang w:val="en" w:eastAsia="en-GB"/>
        </w:rPr>
      </w:pPr>
      <w:r w:rsidRPr="00C537A9">
        <w:rPr>
          <w:rFonts w:eastAsia="Times New Roman" w:cs="Arial"/>
          <w:sz w:val="24"/>
          <w:szCs w:val="24"/>
          <w:lang w:val="en" w:eastAsia="en-GB"/>
        </w:rPr>
        <w:t xml:space="preserve">Having completed this session you will be able to: </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Undertake a risk assessment for VTE</w:t>
      </w:r>
    </w:p>
    <w:p w:rsidR="00DA22EA" w:rsidRPr="00C537A9" w:rsidRDefault="00DA22EA" w:rsidP="006C50DE">
      <w:pPr>
        <w:numPr>
          <w:ilvl w:val="0"/>
          <w:numId w:val="31"/>
        </w:numPr>
        <w:spacing w:after="120"/>
        <w:rPr>
          <w:rFonts w:eastAsia="Times New Roman" w:cs="Arial"/>
          <w:sz w:val="24"/>
          <w:szCs w:val="24"/>
          <w:lang w:val="en" w:eastAsia="en-GB"/>
        </w:rPr>
      </w:pPr>
      <w:r w:rsidRPr="00C537A9">
        <w:rPr>
          <w:rFonts w:eastAsia="Times New Roman" w:cs="Arial"/>
          <w:sz w:val="24"/>
          <w:szCs w:val="24"/>
          <w:lang w:val="en" w:eastAsia="en-GB"/>
        </w:rPr>
        <w:t>Select an appropriate method of thromboprophylaxis and prescribe thromboprophylaxis for an appropriate duration</w:t>
      </w:r>
    </w:p>
    <w:p w:rsidR="00DA22EA" w:rsidRPr="00C537A9" w:rsidRDefault="00DA22EA" w:rsidP="006C50DE">
      <w:pPr>
        <w:numPr>
          <w:ilvl w:val="0"/>
          <w:numId w:val="31"/>
        </w:numPr>
        <w:rPr>
          <w:rFonts w:eastAsia="Times New Roman" w:cs="Arial"/>
          <w:sz w:val="24"/>
          <w:szCs w:val="24"/>
          <w:lang w:val="en" w:eastAsia="en-GB"/>
        </w:rPr>
      </w:pPr>
      <w:r w:rsidRPr="00C537A9">
        <w:rPr>
          <w:rFonts w:eastAsia="Times New Roman" w:cs="Arial"/>
          <w:sz w:val="24"/>
          <w:szCs w:val="24"/>
          <w:lang w:val="en" w:eastAsia="en-GB"/>
        </w:rPr>
        <w:t xml:space="preserve">Explain the importance of performing root cause analysis of a hospital-associated </w:t>
      </w:r>
    </w:p>
    <w:p w:rsidR="00DA22EA" w:rsidRPr="00C537A9" w:rsidRDefault="00DA22EA" w:rsidP="00C36DF8">
      <w:pPr>
        <w:rPr>
          <w:rFonts w:cs="Arial"/>
          <w:sz w:val="24"/>
          <w:szCs w:val="24"/>
          <w:lang w:val="en"/>
        </w:rPr>
      </w:pPr>
      <w:r w:rsidRPr="00C537A9">
        <w:rPr>
          <w:rFonts w:cs="Arial"/>
          <w:sz w:val="24"/>
          <w:szCs w:val="24"/>
          <w:lang w:val="en"/>
        </w:rPr>
        <w:br w:type="page"/>
      </w:r>
    </w:p>
    <w:p w:rsidR="00DA22EA" w:rsidRPr="006C50DE" w:rsidRDefault="00DA22EA" w:rsidP="006C50DE">
      <w:pPr>
        <w:pStyle w:val="Heading4"/>
        <w:spacing w:before="0"/>
        <w:rPr>
          <w:rFonts w:asciiTheme="minorHAnsi" w:hAnsiTheme="minorHAnsi" w:cs="Arial"/>
          <w:i w:val="0"/>
          <w:color w:val="auto"/>
          <w:sz w:val="28"/>
          <w:szCs w:val="24"/>
          <w:lang w:val="en"/>
        </w:rPr>
      </w:pPr>
      <w:r w:rsidRPr="006C50DE">
        <w:rPr>
          <w:rFonts w:asciiTheme="minorHAnsi" w:hAnsiTheme="minorHAnsi" w:cs="Arial"/>
          <w:i w:val="0"/>
          <w:color w:val="auto"/>
          <w:sz w:val="28"/>
          <w:szCs w:val="24"/>
          <w:lang w:val="en"/>
        </w:rPr>
        <w:lastRenderedPageBreak/>
        <w:t>Case Study Answers</w:t>
      </w:r>
    </w:p>
    <w:p w:rsidR="00DA22EA" w:rsidRDefault="00DA22EA" w:rsidP="00C537A9">
      <w:pPr>
        <w:rPr>
          <w:rFonts w:cs="Arial"/>
          <w:sz w:val="24"/>
          <w:szCs w:val="24"/>
          <w:lang w:val="en"/>
        </w:rPr>
      </w:pPr>
    </w:p>
    <w:p w:rsidR="006C50DE" w:rsidRPr="00C537A9" w:rsidRDefault="006C50DE" w:rsidP="00C537A9">
      <w:pPr>
        <w:rPr>
          <w:rFonts w:cs="Arial"/>
          <w:sz w:val="24"/>
          <w:szCs w:val="24"/>
          <w:lang w:val="en"/>
        </w:rPr>
      </w:pPr>
    </w:p>
    <w:p w:rsidR="00DA22EA" w:rsidRPr="004B2182" w:rsidRDefault="004B2182" w:rsidP="00C537A9">
      <w:pPr>
        <w:rPr>
          <w:rFonts w:cs="Arial"/>
          <w:b/>
          <w:sz w:val="28"/>
          <w:szCs w:val="24"/>
          <w:lang w:val="en"/>
        </w:rPr>
      </w:pPr>
      <w:r w:rsidRPr="004B2182">
        <w:rPr>
          <w:b/>
          <w:bCs/>
          <w:noProof/>
          <w:sz w:val="24"/>
          <w:lang w:eastAsia="en-GB"/>
        </w:rPr>
        <w:drawing>
          <wp:anchor distT="0" distB="0" distL="114300" distR="114300" simplePos="0" relativeHeight="251689984" behindDoc="0" locked="0" layoutInCell="1" allowOverlap="1" wp14:anchorId="1452A086" wp14:editId="40E4E156">
            <wp:simplePos x="0" y="0"/>
            <wp:positionH relativeFrom="column">
              <wp:posOffset>5600700</wp:posOffset>
            </wp:positionH>
            <wp:positionV relativeFrom="paragraph">
              <wp:posOffset>66040</wp:posOffset>
            </wp:positionV>
            <wp:extent cx="1205230" cy="22434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1.jpg"/>
                    <pic:cNvPicPr/>
                  </pic:nvPicPr>
                  <pic:blipFill>
                    <a:blip r:embed="rId9">
                      <a:extLst>
                        <a:ext uri="{28A0092B-C50C-407E-A947-70E740481C1C}">
                          <a14:useLocalDpi xmlns:a14="http://schemas.microsoft.com/office/drawing/2010/main" val="0"/>
                        </a:ext>
                      </a:extLst>
                    </a:blip>
                    <a:stretch>
                      <a:fillRect/>
                    </a:stretch>
                  </pic:blipFill>
                  <pic:spPr>
                    <a:xfrm>
                      <a:off x="0" y="0"/>
                      <a:ext cx="1205230" cy="2243455"/>
                    </a:xfrm>
                    <a:prstGeom prst="rect">
                      <a:avLst/>
                    </a:prstGeom>
                  </pic:spPr>
                </pic:pic>
              </a:graphicData>
            </a:graphic>
            <wp14:sizeRelH relativeFrom="page">
              <wp14:pctWidth>0</wp14:pctWidth>
            </wp14:sizeRelH>
            <wp14:sizeRelV relativeFrom="page">
              <wp14:pctHeight>0</wp14:pctHeight>
            </wp14:sizeRelV>
          </wp:anchor>
        </w:drawing>
      </w:r>
      <w:r w:rsidR="00DA22EA" w:rsidRPr="004B2182">
        <w:rPr>
          <w:rFonts w:cs="Arial"/>
          <w:b/>
          <w:sz w:val="28"/>
          <w:szCs w:val="24"/>
          <w:lang w:val="en"/>
        </w:rPr>
        <w:t>Case Study 1</w:t>
      </w:r>
    </w:p>
    <w:p w:rsidR="00DA22EA" w:rsidRPr="00C537A9" w:rsidRDefault="00DA22EA" w:rsidP="00C537A9">
      <w:pPr>
        <w:rPr>
          <w:rFonts w:cs="Arial"/>
          <w:sz w:val="24"/>
          <w:szCs w:val="24"/>
          <w:lang w:val="en"/>
        </w:rPr>
      </w:pPr>
    </w:p>
    <w:p w:rsidR="00DA22EA" w:rsidRPr="00C537A9" w:rsidRDefault="00DA22EA" w:rsidP="00C537A9">
      <w:pPr>
        <w:tabs>
          <w:tab w:val="left" w:pos="1418"/>
        </w:tabs>
        <w:ind w:left="1418" w:hanging="1418"/>
        <w:rPr>
          <w:rStyle w:val="Strong"/>
          <w:b w:val="0"/>
          <w:lang w:val="en"/>
        </w:rPr>
      </w:pPr>
      <w:r w:rsidRPr="00C537A9">
        <w:rPr>
          <w:rStyle w:val="Strong"/>
          <w:rFonts w:cs="Arial"/>
          <w:sz w:val="24"/>
          <w:szCs w:val="24"/>
          <w:lang w:val="en"/>
        </w:rPr>
        <w:t xml:space="preserve">B. Correct. </w:t>
      </w:r>
      <w:r w:rsidR="00C537A9">
        <w:rPr>
          <w:rStyle w:val="Strong"/>
          <w:rFonts w:cs="Arial"/>
          <w:sz w:val="24"/>
          <w:szCs w:val="24"/>
          <w:lang w:val="en"/>
        </w:rPr>
        <w:tab/>
      </w:r>
      <w:r w:rsidRPr="00C537A9">
        <w:rPr>
          <w:rStyle w:val="Strong"/>
          <w:b w:val="0"/>
          <w:lang w:val="en"/>
        </w:rPr>
        <w:t>High risk for VTE and low risk for bleeding</w:t>
      </w:r>
    </w:p>
    <w:p w:rsidR="00DA22EA" w:rsidRPr="00C537A9" w:rsidRDefault="00DA22EA" w:rsidP="00C537A9">
      <w:pPr>
        <w:pStyle w:val="ListParagraph"/>
        <w:tabs>
          <w:tab w:val="left" w:pos="1418"/>
        </w:tabs>
        <w:ind w:left="1418" w:hanging="1418"/>
        <w:contextualSpacing w:val="0"/>
        <w:rPr>
          <w:rStyle w:val="Strong"/>
          <w:rFonts w:cs="Arial"/>
          <w:sz w:val="24"/>
          <w:szCs w:val="24"/>
          <w:lang w:val="en"/>
        </w:rPr>
      </w:pPr>
    </w:p>
    <w:p w:rsidR="00DA22EA" w:rsidRPr="00C537A9" w:rsidRDefault="00DA22EA" w:rsidP="00C537A9">
      <w:pPr>
        <w:tabs>
          <w:tab w:val="left" w:pos="1418"/>
        </w:tabs>
        <w:ind w:left="1418" w:hanging="1418"/>
        <w:rPr>
          <w:rStyle w:val="Strong"/>
          <w:b w:val="0"/>
        </w:rPr>
      </w:pPr>
      <w:r w:rsidRPr="00C537A9">
        <w:rPr>
          <w:rStyle w:val="Strong"/>
          <w:rFonts w:cs="Arial"/>
          <w:sz w:val="24"/>
          <w:szCs w:val="24"/>
          <w:lang w:val="en"/>
        </w:rPr>
        <w:t>C. Correct.</w:t>
      </w:r>
      <w:r w:rsidRPr="00C537A9">
        <w:rPr>
          <w:rStyle w:val="Strong"/>
        </w:rPr>
        <w:t xml:space="preserve"> </w:t>
      </w:r>
      <w:r w:rsidR="00C537A9">
        <w:rPr>
          <w:rStyle w:val="Strong"/>
        </w:rPr>
        <w:tab/>
      </w:r>
      <w:r w:rsidRPr="00C537A9">
        <w:rPr>
          <w:rStyle w:val="Strong"/>
          <w:b w:val="0"/>
        </w:rPr>
        <w:t>This patient is undergoing a high risk orthopaedic procedure and therefore should be given both chemical and mechanical thromboprophylaxis. An extended duration of thromboprophylaxis following total hip replacement is recommended.</w:t>
      </w:r>
    </w:p>
    <w:p w:rsidR="00DA22EA" w:rsidRDefault="00DA22EA"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Pr="00C537A9" w:rsidRDefault="004B2182" w:rsidP="00C537A9">
      <w:pPr>
        <w:tabs>
          <w:tab w:val="left" w:pos="1418"/>
        </w:tabs>
        <w:ind w:left="1418" w:hanging="1418"/>
        <w:rPr>
          <w:rFonts w:cs="Arial"/>
          <w:sz w:val="24"/>
          <w:szCs w:val="24"/>
          <w:lang w:val="en"/>
        </w:rPr>
      </w:pPr>
    </w:p>
    <w:p w:rsidR="00DA22EA" w:rsidRPr="00C537A9" w:rsidRDefault="00DA22EA" w:rsidP="00C537A9">
      <w:pPr>
        <w:tabs>
          <w:tab w:val="left" w:pos="1418"/>
        </w:tabs>
        <w:ind w:left="1418" w:hanging="1418"/>
        <w:rPr>
          <w:rFonts w:cs="Arial"/>
          <w:sz w:val="24"/>
          <w:szCs w:val="24"/>
          <w:lang w:val="en"/>
        </w:rPr>
      </w:pPr>
    </w:p>
    <w:p w:rsidR="00DA22EA" w:rsidRPr="004B2182" w:rsidRDefault="00DA22EA" w:rsidP="004B2182">
      <w:pPr>
        <w:rPr>
          <w:rFonts w:cs="Arial"/>
          <w:b/>
          <w:sz w:val="28"/>
          <w:szCs w:val="24"/>
          <w:lang w:val="en"/>
        </w:rPr>
      </w:pPr>
      <w:r w:rsidRPr="004B2182">
        <w:rPr>
          <w:rFonts w:cs="Arial"/>
          <w:b/>
          <w:sz w:val="28"/>
          <w:szCs w:val="24"/>
          <w:lang w:val="en"/>
        </w:rPr>
        <w:t>Case Study 2</w:t>
      </w:r>
    </w:p>
    <w:p w:rsidR="00DA22EA" w:rsidRPr="00C537A9" w:rsidRDefault="004B2182" w:rsidP="00C537A9">
      <w:pPr>
        <w:tabs>
          <w:tab w:val="left" w:pos="1418"/>
        </w:tabs>
        <w:ind w:left="1418" w:hanging="1418"/>
        <w:rPr>
          <w:rFonts w:cs="Arial"/>
          <w:sz w:val="24"/>
          <w:szCs w:val="24"/>
          <w:lang w:val="en"/>
        </w:rPr>
      </w:pPr>
      <w:r w:rsidRPr="00C537A9">
        <w:rPr>
          <w:rFonts w:cs="Arial"/>
          <w:noProof/>
          <w:sz w:val="24"/>
          <w:szCs w:val="24"/>
          <w:lang w:eastAsia="en-GB"/>
        </w:rPr>
        <w:drawing>
          <wp:anchor distT="0" distB="0" distL="114300" distR="114300" simplePos="0" relativeHeight="251693056" behindDoc="0" locked="0" layoutInCell="1" allowOverlap="1" wp14:anchorId="439461E1" wp14:editId="2E7BC5BD">
            <wp:simplePos x="0" y="0"/>
            <wp:positionH relativeFrom="column">
              <wp:posOffset>4511675</wp:posOffset>
            </wp:positionH>
            <wp:positionV relativeFrom="paragraph">
              <wp:posOffset>151765</wp:posOffset>
            </wp:positionV>
            <wp:extent cx="2294255" cy="1520190"/>
            <wp:effectExtent l="0" t="0" r="0" b="3810"/>
            <wp:wrapSquare wrapText="bothSides"/>
            <wp:docPr id="29" name="Picture 29" descr="http://cs1.e-learningforhealthcare.org.uk/public/VTE_Public_Access/VTE_02_01/jpg/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s1.e-learningforhealthcare.org.uk/public/VTE_Public_Access/VTE_02_01/jpg/Image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425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2EA" w:rsidRPr="00C537A9" w:rsidRDefault="00C537A9" w:rsidP="00C537A9">
      <w:pPr>
        <w:tabs>
          <w:tab w:val="left" w:pos="1418"/>
        </w:tabs>
        <w:ind w:left="1418" w:hanging="1418"/>
        <w:rPr>
          <w:rStyle w:val="Strong"/>
          <w:b w:val="0"/>
          <w:lang w:val="en"/>
        </w:rPr>
      </w:pPr>
      <w:r>
        <w:rPr>
          <w:rStyle w:val="Strong"/>
          <w:rFonts w:cs="Arial"/>
          <w:sz w:val="24"/>
          <w:szCs w:val="24"/>
          <w:lang w:val="en"/>
        </w:rPr>
        <w:t>A. C</w:t>
      </w:r>
      <w:r w:rsidR="00DA22EA" w:rsidRPr="00C537A9">
        <w:rPr>
          <w:rStyle w:val="Strong"/>
          <w:rFonts w:cs="Arial"/>
          <w:sz w:val="24"/>
          <w:szCs w:val="24"/>
          <w:lang w:val="en"/>
        </w:rPr>
        <w:t xml:space="preserve">orrect. </w:t>
      </w:r>
      <w:r>
        <w:rPr>
          <w:rStyle w:val="Strong"/>
          <w:rFonts w:cs="Arial"/>
          <w:sz w:val="24"/>
          <w:szCs w:val="24"/>
          <w:lang w:val="en"/>
        </w:rPr>
        <w:tab/>
      </w:r>
      <w:r w:rsidR="00DA22EA" w:rsidRPr="00C537A9">
        <w:rPr>
          <w:rStyle w:val="Strong"/>
          <w:b w:val="0"/>
          <w:lang w:val="en"/>
        </w:rPr>
        <w:t>Low risk for VTE</w:t>
      </w:r>
    </w:p>
    <w:p w:rsidR="00C537A9" w:rsidRPr="00C537A9" w:rsidRDefault="00C537A9" w:rsidP="00C537A9">
      <w:pPr>
        <w:pStyle w:val="ListParagraph"/>
        <w:tabs>
          <w:tab w:val="left" w:pos="1418"/>
        </w:tabs>
        <w:ind w:left="1418" w:hanging="1418"/>
        <w:contextualSpacing w:val="0"/>
        <w:rPr>
          <w:rStyle w:val="Strong"/>
          <w:lang w:val="en"/>
        </w:rPr>
      </w:pPr>
    </w:p>
    <w:p w:rsidR="00DA22EA" w:rsidRPr="00C537A9" w:rsidRDefault="00DA22EA" w:rsidP="00C537A9">
      <w:pPr>
        <w:tabs>
          <w:tab w:val="left" w:pos="1418"/>
        </w:tabs>
        <w:ind w:left="1418" w:hanging="1418"/>
        <w:rPr>
          <w:rStyle w:val="Strong"/>
          <w:b w:val="0"/>
        </w:rPr>
      </w:pPr>
      <w:r w:rsidRPr="00C537A9">
        <w:rPr>
          <w:rStyle w:val="Strong"/>
          <w:rFonts w:cs="Arial"/>
          <w:sz w:val="24"/>
          <w:szCs w:val="24"/>
          <w:lang w:val="en"/>
        </w:rPr>
        <w:t>C. Correct.</w:t>
      </w:r>
      <w:r w:rsidRPr="00C537A9">
        <w:rPr>
          <w:rStyle w:val="Strong"/>
        </w:rPr>
        <w:t xml:space="preserve"> </w:t>
      </w:r>
      <w:r w:rsidR="00C537A9">
        <w:rPr>
          <w:rStyle w:val="Strong"/>
        </w:rPr>
        <w:tab/>
      </w:r>
      <w:r w:rsidRPr="00C537A9">
        <w:rPr>
          <w:rStyle w:val="Strong"/>
          <w:b w:val="0"/>
        </w:rPr>
        <w:t>As this patient's mobility is normal, he remains at low risk for VTE. However if his clinical condition changes and mobility becomes reduced, his risk should be reassessed.</w:t>
      </w:r>
    </w:p>
    <w:p w:rsidR="00DA22EA" w:rsidRPr="00C537A9" w:rsidRDefault="00DA22EA" w:rsidP="00C537A9">
      <w:pPr>
        <w:tabs>
          <w:tab w:val="left" w:pos="1418"/>
        </w:tabs>
        <w:ind w:left="1418" w:hanging="1418"/>
        <w:rPr>
          <w:rFonts w:cs="Arial"/>
          <w:sz w:val="24"/>
          <w:szCs w:val="24"/>
          <w:lang w:val="en"/>
        </w:rPr>
      </w:pPr>
    </w:p>
    <w:p w:rsidR="00DA22EA" w:rsidRDefault="00DA22EA"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Default="004B2182" w:rsidP="00C537A9">
      <w:pPr>
        <w:tabs>
          <w:tab w:val="left" w:pos="1418"/>
        </w:tabs>
        <w:ind w:left="1418" w:hanging="1418"/>
        <w:rPr>
          <w:rFonts w:cs="Arial"/>
          <w:sz w:val="24"/>
          <w:szCs w:val="24"/>
          <w:lang w:val="en"/>
        </w:rPr>
      </w:pPr>
    </w:p>
    <w:p w:rsidR="004B2182" w:rsidRPr="00C537A9" w:rsidRDefault="004B2182" w:rsidP="00C537A9">
      <w:pPr>
        <w:tabs>
          <w:tab w:val="left" w:pos="1418"/>
        </w:tabs>
        <w:ind w:left="1418" w:hanging="1418"/>
        <w:rPr>
          <w:rFonts w:cs="Arial"/>
          <w:sz w:val="24"/>
          <w:szCs w:val="24"/>
          <w:lang w:val="en"/>
        </w:rPr>
      </w:pPr>
    </w:p>
    <w:p w:rsidR="00DA22EA" w:rsidRPr="004B2182" w:rsidRDefault="00DA22EA" w:rsidP="004B2182">
      <w:pPr>
        <w:rPr>
          <w:rFonts w:cs="Arial"/>
          <w:b/>
          <w:sz w:val="28"/>
          <w:szCs w:val="24"/>
          <w:lang w:val="en"/>
        </w:rPr>
      </w:pPr>
      <w:r w:rsidRPr="004B2182">
        <w:rPr>
          <w:rFonts w:cs="Arial"/>
          <w:b/>
          <w:sz w:val="28"/>
          <w:szCs w:val="24"/>
          <w:lang w:val="en"/>
        </w:rPr>
        <w:t>Case Study 3</w:t>
      </w:r>
    </w:p>
    <w:p w:rsidR="00DA22EA" w:rsidRPr="00C537A9" w:rsidRDefault="00DA22EA" w:rsidP="00C537A9">
      <w:pPr>
        <w:tabs>
          <w:tab w:val="left" w:pos="1418"/>
        </w:tabs>
        <w:ind w:left="1418" w:hanging="1418"/>
        <w:rPr>
          <w:rFonts w:cs="Arial"/>
          <w:sz w:val="24"/>
          <w:szCs w:val="24"/>
          <w:lang w:val="en"/>
        </w:rPr>
      </w:pPr>
    </w:p>
    <w:p w:rsidR="00DA22EA" w:rsidRPr="00C537A9" w:rsidRDefault="004B2182" w:rsidP="00C537A9">
      <w:pPr>
        <w:tabs>
          <w:tab w:val="left" w:pos="1418"/>
        </w:tabs>
        <w:ind w:left="1418" w:hanging="1418"/>
        <w:rPr>
          <w:rStyle w:val="Strong"/>
          <w:b w:val="0"/>
        </w:rPr>
      </w:pPr>
      <w:r>
        <w:rPr>
          <w:bCs/>
          <w:noProof/>
          <w:lang w:eastAsia="en-GB"/>
        </w:rPr>
        <w:drawing>
          <wp:anchor distT="0" distB="0" distL="114300" distR="114300" simplePos="0" relativeHeight="251691008" behindDoc="0" locked="0" layoutInCell="1" allowOverlap="1" wp14:anchorId="262B0FD6" wp14:editId="5D0B427B">
            <wp:simplePos x="0" y="0"/>
            <wp:positionH relativeFrom="column">
              <wp:posOffset>4338955</wp:posOffset>
            </wp:positionH>
            <wp:positionV relativeFrom="paragraph">
              <wp:posOffset>16510</wp:posOffset>
            </wp:positionV>
            <wp:extent cx="2463165" cy="18688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Study 3.jpg"/>
                    <pic:cNvPicPr/>
                  </pic:nvPicPr>
                  <pic:blipFill>
                    <a:blip r:embed="rId44">
                      <a:extLst>
                        <a:ext uri="{28A0092B-C50C-407E-A947-70E740481C1C}">
                          <a14:useLocalDpi xmlns:a14="http://schemas.microsoft.com/office/drawing/2010/main" val="0"/>
                        </a:ext>
                      </a:extLst>
                    </a:blip>
                    <a:stretch>
                      <a:fillRect/>
                    </a:stretch>
                  </pic:blipFill>
                  <pic:spPr>
                    <a:xfrm>
                      <a:off x="0" y="0"/>
                      <a:ext cx="2463165" cy="1868805"/>
                    </a:xfrm>
                    <a:prstGeom prst="rect">
                      <a:avLst/>
                    </a:prstGeom>
                  </pic:spPr>
                </pic:pic>
              </a:graphicData>
            </a:graphic>
            <wp14:sizeRelH relativeFrom="page">
              <wp14:pctWidth>0</wp14:pctWidth>
            </wp14:sizeRelH>
            <wp14:sizeRelV relativeFrom="page">
              <wp14:pctHeight>0</wp14:pctHeight>
            </wp14:sizeRelV>
          </wp:anchor>
        </w:drawing>
      </w:r>
      <w:r w:rsidR="00DA22EA" w:rsidRPr="00C537A9">
        <w:rPr>
          <w:rStyle w:val="Strong"/>
          <w:rFonts w:cs="Arial"/>
          <w:sz w:val="24"/>
          <w:szCs w:val="24"/>
          <w:lang w:val="en"/>
        </w:rPr>
        <w:t>C. Correct.</w:t>
      </w:r>
      <w:r w:rsidR="00DA22EA" w:rsidRPr="00C537A9">
        <w:rPr>
          <w:rStyle w:val="Strong"/>
          <w:lang w:val="en"/>
        </w:rPr>
        <w:t xml:space="preserve"> </w:t>
      </w:r>
      <w:r w:rsidR="00C537A9">
        <w:rPr>
          <w:rStyle w:val="Strong"/>
          <w:lang w:val="en"/>
        </w:rPr>
        <w:tab/>
      </w:r>
      <w:r w:rsidR="00DA22EA" w:rsidRPr="00C537A9">
        <w:rPr>
          <w:rStyle w:val="Strong"/>
          <w:b w:val="0"/>
          <w:lang w:val="en"/>
        </w:rPr>
        <w:t>High risk for VTE and high risk for bleeding</w:t>
      </w:r>
    </w:p>
    <w:p w:rsidR="00DA22EA" w:rsidRPr="00C537A9" w:rsidRDefault="00DA22EA" w:rsidP="00C537A9">
      <w:pPr>
        <w:tabs>
          <w:tab w:val="left" w:pos="1418"/>
        </w:tabs>
        <w:ind w:left="1418" w:hanging="1418"/>
        <w:rPr>
          <w:rStyle w:val="Strong"/>
        </w:rPr>
      </w:pPr>
    </w:p>
    <w:p w:rsidR="00DA22EA" w:rsidRPr="00C537A9" w:rsidRDefault="00DA22EA" w:rsidP="00C537A9">
      <w:pPr>
        <w:tabs>
          <w:tab w:val="left" w:pos="1418"/>
        </w:tabs>
        <w:ind w:left="1418" w:hanging="1418"/>
        <w:rPr>
          <w:rStyle w:val="Strong"/>
          <w:b w:val="0"/>
        </w:rPr>
      </w:pPr>
      <w:r w:rsidRPr="00C537A9">
        <w:rPr>
          <w:rStyle w:val="Strong"/>
          <w:rFonts w:cs="Arial"/>
          <w:sz w:val="24"/>
          <w:szCs w:val="24"/>
          <w:lang w:val="en"/>
        </w:rPr>
        <w:t>C. Correct.</w:t>
      </w:r>
      <w:r w:rsidRPr="00C537A9">
        <w:rPr>
          <w:rStyle w:val="Strong"/>
        </w:rPr>
        <w:t xml:space="preserve"> </w:t>
      </w:r>
      <w:r w:rsidR="00C537A9">
        <w:rPr>
          <w:rStyle w:val="Strong"/>
        </w:rPr>
        <w:t xml:space="preserve"> </w:t>
      </w:r>
      <w:r w:rsidR="00C537A9">
        <w:rPr>
          <w:rStyle w:val="Strong"/>
        </w:rPr>
        <w:tab/>
      </w:r>
      <w:r w:rsidRPr="00C537A9">
        <w:rPr>
          <w:rStyle w:val="Strong"/>
          <w:b w:val="0"/>
        </w:rPr>
        <w:t>The patient is at high risk for VTE given her age and immobility; however, there may be a risk of haemorrhagic transformation following ischaemic stroke depending on the size and location of the infarct. Antiembolism stockings are not recommended in stroke patients due to a lack of established efficacy and the risk of skin damage associated with their use.</w:t>
      </w:r>
    </w:p>
    <w:sectPr w:rsidR="00DA22EA" w:rsidRPr="00C537A9" w:rsidSect="006E7663">
      <w:headerReference w:type="default" r:id="rId45"/>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A84" w:rsidRDefault="00467A84" w:rsidP="00C36DF8">
      <w:r>
        <w:separator/>
      </w:r>
    </w:p>
  </w:endnote>
  <w:endnote w:type="continuationSeparator" w:id="0">
    <w:p w:rsidR="00467A84" w:rsidRDefault="00467A84" w:rsidP="00C3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A84" w:rsidRDefault="00467A84" w:rsidP="00C36DF8">
      <w:r>
        <w:separator/>
      </w:r>
    </w:p>
  </w:footnote>
  <w:footnote w:type="continuationSeparator" w:id="0">
    <w:p w:rsidR="00467A84" w:rsidRDefault="00467A84" w:rsidP="00C36D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84" w:rsidRDefault="001564E9">
    <w:pPr>
      <w:pStyle w:val="Header"/>
    </w:pPr>
    <w:r>
      <w:rPr>
        <w:noProof/>
        <w:lang w:eastAsia="en-GB"/>
      </w:rPr>
      <w:drawing>
        <wp:inline distT="0" distB="0" distL="0" distR="0" wp14:anchorId="7DD495F2" wp14:editId="5F895C6C">
          <wp:extent cx="744279" cy="744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_skills_trai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298" cy="743298"/>
                  </a:xfrm>
                  <a:prstGeom prst="rect">
                    <a:avLst/>
                  </a:prstGeom>
                </pic:spPr>
              </pic:pic>
            </a:graphicData>
          </a:graphic>
        </wp:inline>
      </w:drawing>
    </w:r>
    <w:r>
      <w:t xml:space="preserve">                                                                                                                            </w:t>
    </w:r>
    <w:r>
      <w:rPr>
        <w:noProof/>
        <w:lang w:eastAsia="en-GB"/>
      </w:rPr>
      <w:drawing>
        <wp:inline distT="0" distB="0" distL="0" distR="0" wp14:anchorId="33AB90A6" wp14:editId="57D8FBFB">
          <wp:extent cx="1933739" cy="51036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logo-2017-R03 (no border).jpg"/>
                  <pic:cNvPicPr/>
                </pic:nvPicPr>
                <pic:blipFill>
                  <a:blip r:embed="rId2">
                    <a:extLst>
                      <a:ext uri="{28A0092B-C50C-407E-A947-70E740481C1C}">
                        <a14:useLocalDpi xmlns:a14="http://schemas.microsoft.com/office/drawing/2010/main" val="0"/>
                      </a:ext>
                    </a:extLst>
                  </a:blip>
                  <a:stretch>
                    <a:fillRect/>
                  </a:stretch>
                </pic:blipFill>
                <pic:spPr>
                  <a:xfrm>
                    <a:off x="0" y="0"/>
                    <a:ext cx="1934725" cy="51062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1E1E"/>
    <w:multiLevelType w:val="multilevel"/>
    <w:tmpl w:val="3CFA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A19CC"/>
    <w:multiLevelType w:val="multilevel"/>
    <w:tmpl w:val="A1A6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A05CD"/>
    <w:multiLevelType w:val="multilevel"/>
    <w:tmpl w:val="80A2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24DF0"/>
    <w:multiLevelType w:val="multilevel"/>
    <w:tmpl w:val="45A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5679C"/>
    <w:multiLevelType w:val="multilevel"/>
    <w:tmpl w:val="1DC2E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2724E"/>
    <w:multiLevelType w:val="hybridMultilevel"/>
    <w:tmpl w:val="E9060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0A62F8"/>
    <w:multiLevelType w:val="hybridMultilevel"/>
    <w:tmpl w:val="2BA6C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9937C6"/>
    <w:multiLevelType w:val="multilevel"/>
    <w:tmpl w:val="B2E8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EA4C2F"/>
    <w:multiLevelType w:val="multilevel"/>
    <w:tmpl w:val="EB8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77796D"/>
    <w:multiLevelType w:val="multilevel"/>
    <w:tmpl w:val="409C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2D28BD"/>
    <w:multiLevelType w:val="multilevel"/>
    <w:tmpl w:val="46F462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354E02"/>
    <w:multiLevelType w:val="multilevel"/>
    <w:tmpl w:val="C9E8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91C29"/>
    <w:multiLevelType w:val="multilevel"/>
    <w:tmpl w:val="1D268CD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C41170"/>
    <w:multiLevelType w:val="multilevel"/>
    <w:tmpl w:val="3DC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2155F"/>
    <w:multiLevelType w:val="hybridMultilevel"/>
    <w:tmpl w:val="2BA6C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860AD2"/>
    <w:multiLevelType w:val="multilevel"/>
    <w:tmpl w:val="7324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EC626A"/>
    <w:multiLevelType w:val="multilevel"/>
    <w:tmpl w:val="A30A3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D85EC2"/>
    <w:multiLevelType w:val="multilevel"/>
    <w:tmpl w:val="F5B82A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6912AA"/>
    <w:multiLevelType w:val="multilevel"/>
    <w:tmpl w:val="55B80D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54261"/>
    <w:multiLevelType w:val="hybridMultilevel"/>
    <w:tmpl w:val="A072B5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3650AA"/>
    <w:multiLevelType w:val="multilevel"/>
    <w:tmpl w:val="91A6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8A608D"/>
    <w:multiLevelType w:val="multilevel"/>
    <w:tmpl w:val="A166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EC7BBF"/>
    <w:multiLevelType w:val="multilevel"/>
    <w:tmpl w:val="56D8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856CE7"/>
    <w:multiLevelType w:val="multilevel"/>
    <w:tmpl w:val="3D7AFD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252C55"/>
    <w:multiLevelType w:val="multilevel"/>
    <w:tmpl w:val="F444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1C7137"/>
    <w:multiLevelType w:val="multilevel"/>
    <w:tmpl w:val="5798D6D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6B55A2"/>
    <w:multiLevelType w:val="multilevel"/>
    <w:tmpl w:val="DF0A18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976ABC"/>
    <w:multiLevelType w:val="multilevel"/>
    <w:tmpl w:val="F500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1C65BA"/>
    <w:multiLevelType w:val="multilevel"/>
    <w:tmpl w:val="C6203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150BC3"/>
    <w:multiLevelType w:val="multilevel"/>
    <w:tmpl w:val="C464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36061D"/>
    <w:multiLevelType w:val="multilevel"/>
    <w:tmpl w:val="4AA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006A9D"/>
    <w:multiLevelType w:val="multilevel"/>
    <w:tmpl w:val="C45211A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F71750"/>
    <w:multiLevelType w:val="multilevel"/>
    <w:tmpl w:val="3E6AD7D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644F28"/>
    <w:multiLevelType w:val="multilevel"/>
    <w:tmpl w:val="0728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AE28F3"/>
    <w:multiLevelType w:val="multilevel"/>
    <w:tmpl w:val="7FECF3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582944"/>
    <w:multiLevelType w:val="multilevel"/>
    <w:tmpl w:val="9888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7C0FDC"/>
    <w:multiLevelType w:val="multilevel"/>
    <w:tmpl w:val="6228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A029F7"/>
    <w:multiLevelType w:val="multilevel"/>
    <w:tmpl w:val="227AF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215AEE"/>
    <w:multiLevelType w:val="hybridMultilevel"/>
    <w:tmpl w:val="2BA6C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FA2037"/>
    <w:multiLevelType w:val="multilevel"/>
    <w:tmpl w:val="4E14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C05B43"/>
    <w:multiLevelType w:val="multilevel"/>
    <w:tmpl w:val="CA54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7F0F29"/>
    <w:multiLevelType w:val="multilevel"/>
    <w:tmpl w:val="AE5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0"/>
  </w:num>
  <w:num w:numId="3">
    <w:abstractNumId w:val="4"/>
  </w:num>
  <w:num w:numId="4">
    <w:abstractNumId w:val="24"/>
  </w:num>
  <w:num w:numId="5">
    <w:abstractNumId w:val="37"/>
  </w:num>
  <w:num w:numId="6">
    <w:abstractNumId w:val="40"/>
  </w:num>
  <w:num w:numId="7">
    <w:abstractNumId w:val="39"/>
  </w:num>
  <w:num w:numId="8">
    <w:abstractNumId w:val="3"/>
  </w:num>
  <w:num w:numId="9">
    <w:abstractNumId w:val="1"/>
  </w:num>
  <w:num w:numId="10">
    <w:abstractNumId w:val="41"/>
  </w:num>
  <w:num w:numId="11">
    <w:abstractNumId w:val="2"/>
  </w:num>
  <w:num w:numId="12">
    <w:abstractNumId w:val="8"/>
  </w:num>
  <w:num w:numId="13">
    <w:abstractNumId w:val="22"/>
  </w:num>
  <w:num w:numId="14">
    <w:abstractNumId w:val="30"/>
  </w:num>
  <w:num w:numId="15">
    <w:abstractNumId w:val="36"/>
  </w:num>
  <w:num w:numId="16">
    <w:abstractNumId w:val="0"/>
  </w:num>
  <w:num w:numId="17">
    <w:abstractNumId w:val="11"/>
  </w:num>
  <w:num w:numId="18">
    <w:abstractNumId w:val="13"/>
  </w:num>
  <w:num w:numId="19">
    <w:abstractNumId w:val="33"/>
  </w:num>
  <w:num w:numId="20">
    <w:abstractNumId w:val="7"/>
  </w:num>
  <w:num w:numId="21">
    <w:abstractNumId w:val="27"/>
  </w:num>
  <w:num w:numId="22">
    <w:abstractNumId w:val="35"/>
  </w:num>
  <w:num w:numId="23">
    <w:abstractNumId w:val="9"/>
  </w:num>
  <w:num w:numId="24">
    <w:abstractNumId w:val="21"/>
  </w:num>
  <w:num w:numId="25">
    <w:abstractNumId w:val="15"/>
  </w:num>
  <w:num w:numId="26">
    <w:abstractNumId w:val="29"/>
  </w:num>
  <w:num w:numId="27">
    <w:abstractNumId w:val="16"/>
  </w:num>
  <w:num w:numId="28">
    <w:abstractNumId w:val="38"/>
  </w:num>
  <w:num w:numId="29">
    <w:abstractNumId w:val="6"/>
  </w:num>
  <w:num w:numId="30">
    <w:abstractNumId w:val="14"/>
  </w:num>
  <w:num w:numId="31">
    <w:abstractNumId w:val="17"/>
  </w:num>
  <w:num w:numId="32">
    <w:abstractNumId w:val="34"/>
  </w:num>
  <w:num w:numId="33">
    <w:abstractNumId w:val="25"/>
  </w:num>
  <w:num w:numId="34">
    <w:abstractNumId w:val="5"/>
  </w:num>
  <w:num w:numId="35">
    <w:abstractNumId w:val="32"/>
  </w:num>
  <w:num w:numId="36">
    <w:abstractNumId w:val="18"/>
  </w:num>
  <w:num w:numId="37">
    <w:abstractNumId w:val="19"/>
  </w:num>
  <w:num w:numId="38">
    <w:abstractNumId w:val="23"/>
  </w:num>
  <w:num w:numId="39">
    <w:abstractNumId w:val="10"/>
  </w:num>
  <w:num w:numId="40">
    <w:abstractNumId w:val="12"/>
  </w:num>
  <w:num w:numId="41">
    <w:abstractNumId w:val="26"/>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ocumentProtection w:edit="forms" w:enforcement="1" w:cryptProviderType="rsaFull" w:cryptAlgorithmClass="hash" w:cryptAlgorithmType="typeAny" w:cryptAlgorithmSid="4" w:cryptSpinCount="100000" w:hash="EfOkkomyuBtJwq9mH7ha+uu+07k=" w:salt="lm687k6WUGMmrX2F1XqeL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444"/>
    <w:rsid w:val="00000310"/>
    <w:rsid w:val="000442A8"/>
    <w:rsid w:val="001564E9"/>
    <w:rsid w:val="001D667C"/>
    <w:rsid w:val="002A5A78"/>
    <w:rsid w:val="00375F09"/>
    <w:rsid w:val="003C2146"/>
    <w:rsid w:val="004636D2"/>
    <w:rsid w:val="0046699A"/>
    <w:rsid w:val="00467A84"/>
    <w:rsid w:val="00476C58"/>
    <w:rsid w:val="004B2182"/>
    <w:rsid w:val="004C6AD0"/>
    <w:rsid w:val="00515608"/>
    <w:rsid w:val="00554DAC"/>
    <w:rsid w:val="006C50DE"/>
    <w:rsid w:val="006C787F"/>
    <w:rsid w:val="006E7663"/>
    <w:rsid w:val="006F77A7"/>
    <w:rsid w:val="007B74FA"/>
    <w:rsid w:val="008362C4"/>
    <w:rsid w:val="0089649E"/>
    <w:rsid w:val="009B096C"/>
    <w:rsid w:val="009E633B"/>
    <w:rsid w:val="00A5737B"/>
    <w:rsid w:val="00AB6552"/>
    <w:rsid w:val="00B404EF"/>
    <w:rsid w:val="00C36DF8"/>
    <w:rsid w:val="00C537A9"/>
    <w:rsid w:val="00C93281"/>
    <w:rsid w:val="00CF2564"/>
    <w:rsid w:val="00DA22EA"/>
    <w:rsid w:val="00DA5444"/>
    <w:rsid w:val="00E61567"/>
    <w:rsid w:val="00ED0C50"/>
    <w:rsid w:val="00FB2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A54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A5444"/>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DA54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544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A5444"/>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A5444"/>
    <w:rPr>
      <w:color w:val="0000FF"/>
      <w:u w:val="single"/>
    </w:rPr>
  </w:style>
  <w:style w:type="character" w:customStyle="1" w:styleId="Heading4Char">
    <w:name w:val="Heading 4 Char"/>
    <w:basedOn w:val="DefaultParagraphFont"/>
    <w:link w:val="Heading4"/>
    <w:uiPriority w:val="9"/>
    <w:rsid w:val="00DA544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A5444"/>
    <w:rPr>
      <w:rFonts w:ascii="Tahoma" w:hAnsi="Tahoma" w:cs="Tahoma"/>
      <w:sz w:val="16"/>
      <w:szCs w:val="16"/>
    </w:rPr>
  </w:style>
  <w:style w:type="character" w:customStyle="1" w:styleId="BalloonTextChar">
    <w:name w:val="Balloon Text Char"/>
    <w:basedOn w:val="DefaultParagraphFont"/>
    <w:link w:val="BalloonText"/>
    <w:uiPriority w:val="99"/>
    <w:semiHidden/>
    <w:rsid w:val="00DA5444"/>
    <w:rPr>
      <w:rFonts w:ascii="Tahoma" w:hAnsi="Tahoma" w:cs="Tahoma"/>
      <w:sz w:val="16"/>
      <w:szCs w:val="16"/>
    </w:rPr>
  </w:style>
  <w:style w:type="paragraph" w:customStyle="1" w:styleId="para-right">
    <w:name w:val="para-right"/>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DA5444"/>
  </w:style>
  <w:style w:type="paragraph" w:customStyle="1" w:styleId="Quote1">
    <w:name w:val="Quote1"/>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str">
    <w:name w:val="instr"/>
    <w:basedOn w:val="DefaultParagraphFont"/>
    <w:rsid w:val="00DA5444"/>
  </w:style>
  <w:style w:type="character" w:styleId="Strong">
    <w:name w:val="Strong"/>
    <w:basedOn w:val="DefaultParagraphFont"/>
    <w:uiPriority w:val="22"/>
    <w:qFormat/>
    <w:rsid w:val="00DA5444"/>
    <w:rPr>
      <w:b/>
      <w:bCs/>
    </w:rPr>
  </w:style>
  <w:style w:type="character" w:customStyle="1" w:styleId="Heading2Char">
    <w:name w:val="Heading 2 Char"/>
    <w:basedOn w:val="DefaultParagraphFont"/>
    <w:link w:val="Heading2"/>
    <w:uiPriority w:val="9"/>
    <w:semiHidden/>
    <w:rsid w:val="00DA5444"/>
    <w:rPr>
      <w:rFonts w:asciiTheme="majorHAnsi" w:eastAsiaTheme="majorEastAsia" w:hAnsiTheme="majorHAnsi" w:cstheme="majorBidi"/>
      <w:b/>
      <w:bCs/>
      <w:color w:val="4F81BD" w:themeColor="accent1"/>
      <w:sz w:val="26"/>
      <w:szCs w:val="26"/>
    </w:rPr>
  </w:style>
  <w:style w:type="paragraph" w:customStyle="1" w:styleId="highlight">
    <w:name w:val="highlight"/>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mit-instr">
    <w:name w:val="submit-instr"/>
    <w:basedOn w:val="Normal"/>
    <w:rsid w:val="00DA22E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tn2">
    <w:name w:val="btn2"/>
    <w:basedOn w:val="DefaultParagraphFont"/>
    <w:rsid w:val="00DA22EA"/>
  </w:style>
  <w:style w:type="paragraph" w:styleId="z-TopofForm">
    <w:name w:val="HTML Top of Form"/>
    <w:basedOn w:val="Normal"/>
    <w:next w:val="Normal"/>
    <w:link w:val="z-TopofFormChar"/>
    <w:hidden/>
    <w:uiPriority w:val="99"/>
    <w:semiHidden/>
    <w:unhideWhenUsed/>
    <w:rsid w:val="00DA22EA"/>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A22EA"/>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A22EA"/>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A22EA"/>
    <w:rPr>
      <w:rFonts w:ascii="Arial" w:eastAsia="Times New Roman" w:hAnsi="Arial" w:cs="Arial"/>
      <w:vanish/>
      <w:sz w:val="16"/>
      <w:szCs w:val="16"/>
      <w:lang w:eastAsia="en-GB"/>
    </w:rPr>
  </w:style>
  <w:style w:type="paragraph" w:styleId="ListParagraph">
    <w:name w:val="List Paragraph"/>
    <w:basedOn w:val="Normal"/>
    <w:uiPriority w:val="34"/>
    <w:qFormat/>
    <w:rsid w:val="00DA22EA"/>
    <w:pPr>
      <w:ind w:left="720"/>
      <w:contextualSpacing/>
    </w:pPr>
  </w:style>
  <w:style w:type="paragraph" w:styleId="Header">
    <w:name w:val="header"/>
    <w:basedOn w:val="Normal"/>
    <w:link w:val="HeaderChar"/>
    <w:uiPriority w:val="99"/>
    <w:unhideWhenUsed/>
    <w:rsid w:val="00C36DF8"/>
    <w:pPr>
      <w:tabs>
        <w:tab w:val="center" w:pos="4513"/>
        <w:tab w:val="right" w:pos="9026"/>
      </w:tabs>
    </w:pPr>
  </w:style>
  <w:style w:type="character" w:customStyle="1" w:styleId="HeaderChar">
    <w:name w:val="Header Char"/>
    <w:basedOn w:val="DefaultParagraphFont"/>
    <w:link w:val="Header"/>
    <w:uiPriority w:val="99"/>
    <w:rsid w:val="00C36DF8"/>
  </w:style>
  <w:style w:type="paragraph" w:styleId="Footer">
    <w:name w:val="footer"/>
    <w:basedOn w:val="Normal"/>
    <w:link w:val="FooterChar"/>
    <w:uiPriority w:val="99"/>
    <w:unhideWhenUsed/>
    <w:rsid w:val="00C36DF8"/>
    <w:pPr>
      <w:tabs>
        <w:tab w:val="center" w:pos="4513"/>
        <w:tab w:val="right" w:pos="9026"/>
      </w:tabs>
    </w:pPr>
  </w:style>
  <w:style w:type="character" w:customStyle="1" w:styleId="FooterChar">
    <w:name w:val="Footer Char"/>
    <w:basedOn w:val="DefaultParagraphFont"/>
    <w:link w:val="Footer"/>
    <w:uiPriority w:val="99"/>
    <w:rsid w:val="00C36DF8"/>
  </w:style>
  <w:style w:type="table" w:styleId="TableGrid">
    <w:name w:val="Table Grid"/>
    <w:basedOn w:val="TableNormal"/>
    <w:uiPriority w:val="59"/>
    <w:rsid w:val="00AB6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A54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A5444"/>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DA54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544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A5444"/>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A5444"/>
    <w:rPr>
      <w:color w:val="0000FF"/>
      <w:u w:val="single"/>
    </w:rPr>
  </w:style>
  <w:style w:type="character" w:customStyle="1" w:styleId="Heading4Char">
    <w:name w:val="Heading 4 Char"/>
    <w:basedOn w:val="DefaultParagraphFont"/>
    <w:link w:val="Heading4"/>
    <w:uiPriority w:val="9"/>
    <w:rsid w:val="00DA544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A5444"/>
    <w:rPr>
      <w:rFonts w:ascii="Tahoma" w:hAnsi="Tahoma" w:cs="Tahoma"/>
      <w:sz w:val="16"/>
      <w:szCs w:val="16"/>
    </w:rPr>
  </w:style>
  <w:style w:type="character" w:customStyle="1" w:styleId="BalloonTextChar">
    <w:name w:val="Balloon Text Char"/>
    <w:basedOn w:val="DefaultParagraphFont"/>
    <w:link w:val="BalloonText"/>
    <w:uiPriority w:val="99"/>
    <w:semiHidden/>
    <w:rsid w:val="00DA5444"/>
    <w:rPr>
      <w:rFonts w:ascii="Tahoma" w:hAnsi="Tahoma" w:cs="Tahoma"/>
      <w:sz w:val="16"/>
      <w:szCs w:val="16"/>
    </w:rPr>
  </w:style>
  <w:style w:type="paragraph" w:customStyle="1" w:styleId="para-right">
    <w:name w:val="para-right"/>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DA5444"/>
  </w:style>
  <w:style w:type="paragraph" w:customStyle="1" w:styleId="Quote1">
    <w:name w:val="Quote1"/>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str">
    <w:name w:val="instr"/>
    <w:basedOn w:val="DefaultParagraphFont"/>
    <w:rsid w:val="00DA5444"/>
  </w:style>
  <w:style w:type="character" w:styleId="Strong">
    <w:name w:val="Strong"/>
    <w:basedOn w:val="DefaultParagraphFont"/>
    <w:uiPriority w:val="22"/>
    <w:qFormat/>
    <w:rsid w:val="00DA5444"/>
    <w:rPr>
      <w:b/>
      <w:bCs/>
    </w:rPr>
  </w:style>
  <w:style w:type="character" w:customStyle="1" w:styleId="Heading2Char">
    <w:name w:val="Heading 2 Char"/>
    <w:basedOn w:val="DefaultParagraphFont"/>
    <w:link w:val="Heading2"/>
    <w:uiPriority w:val="9"/>
    <w:semiHidden/>
    <w:rsid w:val="00DA5444"/>
    <w:rPr>
      <w:rFonts w:asciiTheme="majorHAnsi" w:eastAsiaTheme="majorEastAsia" w:hAnsiTheme="majorHAnsi" w:cstheme="majorBidi"/>
      <w:b/>
      <w:bCs/>
      <w:color w:val="4F81BD" w:themeColor="accent1"/>
      <w:sz w:val="26"/>
      <w:szCs w:val="26"/>
    </w:rPr>
  </w:style>
  <w:style w:type="paragraph" w:customStyle="1" w:styleId="highlight">
    <w:name w:val="highlight"/>
    <w:basedOn w:val="Normal"/>
    <w:rsid w:val="00DA544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mit-instr">
    <w:name w:val="submit-instr"/>
    <w:basedOn w:val="Normal"/>
    <w:rsid w:val="00DA22E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tn2">
    <w:name w:val="btn2"/>
    <w:basedOn w:val="DefaultParagraphFont"/>
    <w:rsid w:val="00DA22EA"/>
  </w:style>
  <w:style w:type="paragraph" w:styleId="z-TopofForm">
    <w:name w:val="HTML Top of Form"/>
    <w:basedOn w:val="Normal"/>
    <w:next w:val="Normal"/>
    <w:link w:val="z-TopofFormChar"/>
    <w:hidden/>
    <w:uiPriority w:val="99"/>
    <w:semiHidden/>
    <w:unhideWhenUsed/>
    <w:rsid w:val="00DA22EA"/>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A22EA"/>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A22EA"/>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A22EA"/>
    <w:rPr>
      <w:rFonts w:ascii="Arial" w:eastAsia="Times New Roman" w:hAnsi="Arial" w:cs="Arial"/>
      <w:vanish/>
      <w:sz w:val="16"/>
      <w:szCs w:val="16"/>
      <w:lang w:eastAsia="en-GB"/>
    </w:rPr>
  </w:style>
  <w:style w:type="paragraph" w:styleId="ListParagraph">
    <w:name w:val="List Paragraph"/>
    <w:basedOn w:val="Normal"/>
    <w:uiPriority w:val="34"/>
    <w:qFormat/>
    <w:rsid w:val="00DA22EA"/>
    <w:pPr>
      <w:ind w:left="720"/>
      <w:contextualSpacing/>
    </w:pPr>
  </w:style>
  <w:style w:type="paragraph" w:styleId="Header">
    <w:name w:val="header"/>
    <w:basedOn w:val="Normal"/>
    <w:link w:val="HeaderChar"/>
    <w:uiPriority w:val="99"/>
    <w:unhideWhenUsed/>
    <w:rsid w:val="00C36DF8"/>
    <w:pPr>
      <w:tabs>
        <w:tab w:val="center" w:pos="4513"/>
        <w:tab w:val="right" w:pos="9026"/>
      </w:tabs>
    </w:pPr>
  </w:style>
  <w:style w:type="character" w:customStyle="1" w:styleId="HeaderChar">
    <w:name w:val="Header Char"/>
    <w:basedOn w:val="DefaultParagraphFont"/>
    <w:link w:val="Header"/>
    <w:uiPriority w:val="99"/>
    <w:rsid w:val="00C36DF8"/>
  </w:style>
  <w:style w:type="paragraph" w:styleId="Footer">
    <w:name w:val="footer"/>
    <w:basedOn w:val="Normal"/>
    <w:link w:val="FooterChar"/>
    <w:uiPriority w:val="99"/>
    <w:unhideWhenUsed/>
    <w:rsid w:val="00C36DF8"/>
    <w:pPr>
      <w:tabs>
        <w:tab w:val="center" w:pos="4513"/>
        <w:tab w:val="right" w:pos="9026"/>
      </w:tabs>
    </w:pPr>
  </w:style>
  <w:style w:type="character" w:customStyle="1" w:styleId="FooterChar">
    <w:name w:val="Footer Char"/>
    <w:basedOn w:val="DefaultParagraphFont"/>
    <w:link w:val="Footer"/>
    <w:uiPriority w:val="99"/>
    <w:rsid w:val="00C36DF8"/>
  </w:style>
  <w:style w:type="table" w:styleId="TableGrid">
    <w:name w:val="Table Grid"/>
    <w:basedOn w:val="TableNormal"/>
    <w:uiPriority w:val="59"/>
    <w:rsid w:val="00AB6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5152">
      <w:bodyDiv w:val="1"/>
      <w:marLeft w:val="0"/>
      <w:marRight w:val="0"/>
      <w:marTop w:val="0"/>
      <w:marBottom w:val="0"/>
      <w:divBdr>
        <w:top w:val="none" w:sz="0" w:space="0" w:color="auto"/>
        <w:left w:val="none" w:sz="0" w:space="0" w:color="auto"/>
        <w:bottom w:val="none" w:sz="0" w:space="0" w:color="auto"/>
        <w:right w:val="none" w:sz="0" w:space="0" w:color="auto"/>
      </w:divBdr>
      <w:divsChild>
        <w:div w:id="1030378328">
          <w:marLeft w:val="0"/>
          <w:marRight w:val="0"/>
          <w:marTop w:val="0"/>
          <w:marBottom w:val="0"/>
          <w:divBdr>
            <w:top w:val="none" w:sz="0" w:space="0" w:color="auto"/>
            <w:left w:val="none" w:sz="0" w:space="0" w:color="auto"/>
            <w:bottom w:val="none" w:sz="0" w:space="0" w:color="auto"/>
            <w:right w:val="none" w:sz="0" w:space="0" w:color="auto"/>
          </w:divBdr>
          <w:divsChild>
            <w:div w:id="8587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8947">
      <w:bodyDiv w:val="1"/>
      <w:marLeft w:val="0"/>
      <w:marRight w:val="0"/>
      <w:marTop w:val="0"/>
      <w:marBottom w:val="0"/>
      <w:divBdr>
        <w:top w:val="none" w:sz="0" w:space="0" w:color="auto"/>
        <w:left w:val="none" w:sz="0" w:space="0" w:color="auto"/>
        <w:bottom w:val="none" w:sz="0" w:space="0" w:color="auto"/>
        <w:right w:val="none" w:sz="0" w:space="0" w:color="auto"/>
      </w:divBdr>
      <w:divsChild>
        <w:div w:id="764425079">
          <w:marLeft w:val="0"/>
          <w:marRight w:val="0"/>
          <w:marTop w:val="0"/>
          <w:marBottom w:val="0"/>
          <w:divBdr>
            <w:top w:val="none" w:sz="0" w:space="0" w:color="auto"/>
            <w:left w:val="none" w:sz="0" w:space="0" w:color="auto"/>
            <w:bottom w:val="none" w:sz="0" w:space="0" w:color="auto"/>
            <w:right w:val="none" w:sz="0" w:space="0" w:color="auto"/>
          </w:divBdr>
          <w:divsChild>
            <w:div w:id="1734507199">
              <w:marLeft w:val="0"/>
              <w:marRight w:val="0"/>
              <w:marTop w:val="0"/>
              <w:marBottom w:val="0"/>
              <w:divBdr>
                <w:top w:val="none" w:sz="0" w:space="0" w:color="auto"/>
                <w:left w:val="none" w:sz="0" w:space="0" w:color="auto"/>
                <w:bottom w:val="none" w:sz="0" w:space="0" w:color="auto"/>
                <w:right w:val="none" w:sz="0" w:space="0" w:color="auto"/>
              </w:divBdr>
              <w:divsChild>
                <w:div w:id="1121649280">
                  <w:marLeft w:val="0"/>
                  <w:marRight w:val="0"/>
                  <w:marTop w:val="0"/>
                  <w:marBottom w:val="0"/>
                  <w:divBdr>
                    <w:top w:val="none" w:sz="0" w:space="0" w:color="auto"/>
                    <w:left w:val="none" w:sz="0" w:space="0" w:color="auto"/>
                    <w:bottom w:val="none" w:sz="0" w:space="0" w:color="auto"/>
                    <w:right w:val="none" w:sz="0" w:space="0" w:color="auto"/>
                  </w:divBdr>
                </w:div>
                <w:div w:id="25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8164">
      <w:bodyDiv w:val="1"/>
      <w:marLeft w:val="0"/>
      <w:marRight w:val="0"/>
      <w:marTop w:val="0"/>
      <w:marBottom w:val="0"/>
      <w:divBdr>
        <w:top w:val="none" w:sz="0" w:space="0" w:color="auto"/>
        <w:left w:val="none" w:sz="0" w:space="0" w:color="auto"/>
        <w:bottom w:val="none" w:sz="0" w:space="0" w:color="auto"/>
        <w:right w:val="none" w:sz="0" w:space="0" w:color="auto"/>
      </w:divBdr>
      <w:divsChild>
        <w:div w:id="23990750">
          <w:marLeft w:val="0"/>
          <w:marRight w:val="0"/>
          <w:marTop w:val="0"/>
          <w:marBottom w:val="0"/>
          <w:divBdr>
            <w:top w:val="none" w:sz="0" w:space="0" w:color="auto"/>
            <w:left w:val="none" w:sz="0" w:space="0" w:color="auto"/>
            <w:bottom w:val="none" w:sz="0" w:space="0" w:color="auto"/>
            <w:right w:val="none" w:sz="0" w:space="0" w:color="auto"/>
          </w:divBdr>
          <w:divsChild>
            <w:div w:id="969244080">
              <w:marLeft w:val="0"/>
              <w:marRight w:val="0"/>
              <w:marTop w:val="0"/>
              <w:marBottom w:val="0"/>
              <w:divBdr>
                <w:top w:val="none" w:sz="0" w:space="0" w:color="auto"/>
                <w:left w:val="none" w:sz="0" w:space="0" w:color="auto"/>
                <w:bottom w:val="none" w:sz="0" w:space="0" w:color="auto"/>
                <w:right w:val="none" w:sz="0" w:space="0" w:color="auto"/>
              </w:divBdr>
              <w:divsChild>
                <w:div w:id="1636252948">
                  <w:marLeft w:val="0"/>
                  <w:marRight w:val="0"/>
                  <w:marTop w:val="0"/>
                  <w:marBottom w:val="0"/>
                  <w:divBdr>
                    <w:top w:val="none" w:sz="0" w:space="0" w:color="auto"/>
                    <w:left w:val="none" w:sz="0" w:space="0" w:color="auto"/>
                    <w:bottom w:val="none" w:sz="0" w:space="0" w:color="auto"/>
                    <w:right w:val="none" w:sz="0" w:space="0" w:color="auto"/>
                  </w:divBdr>
                  <w:divsChild>
                    <w:div w:id="17234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7632">
      <w:bodyDiv w:val="1"/>
      <w:marLeft w:val="0"/>
      <w:marRight w:val="0"/>
      <w:marTop w:val="0"/>
      <w:marBottom w:val="0"/>
      <w:divBdr>
        <w:top w:val="none" w:sz="0" w:space="0" w:color="auto"/>
        <w:left w:val="none" w:sz="0" w:space="0" w:color="auto"/>
        <w:bottom w:val="none" w:sz="0" w:space="0" w:color="auto"/>
        <w:right w:val="none" w:sz="0" w:space="0" w:color="auto"/>
      </w:divBdr>
      <w:divsChild>
        <w:div w:id="1255699698">
          <w:marLeft w:val="0"/>
          <w:marRight w:val="0"/>
          <w:marTop w:val="0"/>
          <w:marBottom w:val="0"/>
          <w:divBdr>
            <w:top w:val="none" w:sz="0" w:space="0" w:color="auto"/>
            <w:left w:val="none" w:sz="0" w:space="0" w:color="auto"/>
            <w:bottom w:val="none" w:sz="0" w:space="0" w:color="auto"/>
            <w:right w:val="none" w:sz="0" w:space="0" w:color="auto"/>
          </w:divBdr>
          <w:divsChild>
            <w:div w:id="19542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291">
      <w:bodyDiv w:val="1"/>
      <w:marLeft w:val="0"/>
      <w:marRight w:val="0"/>
      <w:marTop w:val="0"/>
      <w:marBottom w:val="0"/>
      <w:divBdr>
        <w:top w:val="none" w:sz="0" w:space="0" w:color="auto"/>
        <w:left w:val="none" w:sz="0" w:space="0" w:color="auto"/>
        <w:bottom w:val="none" w:sz="0" w:space="0" w:color="auto"/>
        <w:right w:val="none" w:sz="0" w:space="0" w:color="auto"/>
      </w:divBdr>
      <w:divsChild>
        <w:div w:id="1772356909">
          <w:marLeft w:val="0"/>
          <w:marRight w:val="0"/>
          <w:marTop w:val="0"/>
          <w:marBottom w:val="0"/>
          <w:divBdr>
            <w:top w:val="none" w:sz="0" w:space="0" w:color="auto"/>
            <w:left w:val="none" w:sz="0" w:space="0" w:color="auto"/>
            <w:bottom w:val="none" w:sz="0" w:space="0" w:color="auto"/>
            <w:right w:val="none" w:sz="0" w:space="0" w:color="auto"/>
          </w:divBdr>
          <w:divsChild>
            <w:div w:id="6039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9531">
      <w:bodyDiv w:val="1"/>
      <w:marLeft w:val="0"/>
      <w:marRight w:val="0"/>
      <w:marTop w:val="0"/>
      <w:marBottom w:val="0"/>
      <w:divBdr>
        <w:top w:val="none" w:sz="0" w:space="0" w:color="auto"/>
        <w:left w:val="none" w:sz="0" w:space="0" w:color="auto"/>
        <w:bottom w:val="none" w:sz="0" w:space="0" w:color="auto"/>
        <w:right w:val="none" w:sz="0" w:space="0" w:color="auto"/>
      </w:divBdr>
      <w:divsChild>
        <w:div w:id="49427293">
          <w:marLeft w:val="0"/>
          <w:marRight w:val="0"/>
          <w:marTop w:val="0"/>
          <w:marBottom w:val="0"/>
          <w:divBdr>
            <w:top w:val="none" w:sz="0" w:space="0" w:color="auto"/>
            <w:left w:val="none" w:sz="0" w:space="0" w:color="auto"/>
            <w:bottom w:val="none" w:sz="0" w:space="0" w:color="auto"/>
            <w:right w:val="none" w:sz="0" w:space="0" w:color="auto"/>
          </w:divBdr>
          <w:divsChild>
            <w:div w:id="21423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785">
      <w:bodyDiv w:val="1"/>
      <w:marLeft w:val="0"/>
      <w:marRight w:val="0"/>
      <w:marTop w:val="0"/>
      <w:marBottom w:val="0"/>
      <w:divBdr>
        <w:top w:val="none" w:sz="0" w:space="0" w:color="auto"/>
        <w:left w:val="none" w:sz="0" w:space="0" w:color="auto"/>
        <w:bottom w:val="none" w:sz="0" w:space="0" w:color="auto"/>
        <w:right w:val="none" w:sz="0" w:space="0" w:color="auto"/>
      </w:divBdr>
      <w:divsChild>
        <w:div w:id="1577325910">
          <w:marLeft w:val="0"/>
          <w:marRight w:val="0"/>
          <w:marTop w:val="0"/>
          <w:marBottom w:val="0"/>
          <w:divBdr>
            <w:top w:val="none" w:sz="0" w:space="0" w:color="auto"/>
            <w:left w:val="none" w:sz="0" w:space="0" w:color="auto"/>
            <w:bottom w:val="none" w:sz="0" w:space="0" w:color="auto"/>
            <w:right w:val="none" w:sz="0" w:space="0" w:color="auto"/>
          </w:divBdr>
          <w:divsChild>
            <w:div w:id="203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2000">
      <w:bodyDiv w:val="1"/>
      <w:marLeft w:val="0"/>
      <w:marRight w:val="0"/>
      <w:marTop w:val="0"/>
      <w:marBottom w:val="0"/>
      <w:divBdr>
        <w:top w:val="none" w:sz="0" w:space="0" w:color="auto"/>
        <w:left w:val="none" w:sz="0" w:space="0" w:color="auto"/>
        <w:bottom w:val="none" w:sz="0" w:space="0" w:color="auto"/>
        <w:right w:val="none" w:sz="0" w:space="0" w:color="auto"/>
      </w:divBdr>
      <w:divsChild>
        <w:div w:id="579608612">
          <w:marLeft w:val="0"/>
          <w:marRight w:val="0"/>
          <w:marTop w:val="0"/>
          <w:marBottom w:val="0"/>
          <w:divBdr>
            <w:top w:val="none" w:sz="0" w:space="0" w:color="auto"/>
            <w:left w:val="none" w:sz="0" w:space="0" w:color="auto"/>
            <w:bottom w:val="none" w:sz="0" w:space="0" w:color="auto"/>
            <w:right w:val="none" w:sz="0" w:space="0" w:color="auto"/>
          </w:divBdr>
          <w:divsChild>
            <w:div w:id="2060206926">
              <w:marLeft w:val="0"/>
              <w:marRight w:val="0"/>
              <w:marTop w:val="0"/>
              <w:marBottom w:val="0"/>
              <w:divBdr>
                <w:top w:val="none" w:sz="0" w:space="0" w:color="auto"/>
                <w:left w:val="none" w:sz="0" w:space="0" w:color="auto"/>
                <w:bottom w:val="none" w:sz="0" w:space="0" w:color="auto"/>
                <w:right w:val="none" w:sz="0" w:space="0" w:color="auto"/>
              </w:divBdr>
            </w:div>
            <w:div w:id="9982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020">
      <w:bodyDiv w:val="1"/>
      <w:marLeft w:val="0"/>
      <w:marRight w:val="0"/>
      <w:marTop w:val="0"/>
      <w:marBottom w:val="0"/>
      <w:divBdr>
        <w:top w:val="none" w:sz="0" w:space="0" w:color="auto"/>
        <w:left w:val="none" w:sz="0" w:space="0" w:color="auto"/>
        <w:bottom w:val="none" w:sz="0" w:space="0" w:color="auto"/>
        <w:right w:val="none" w:sz="0" w:space="0" w:color="auto"/>
      </w:divBdr>
      <w:divsChild>
        <w:div w:id="797528757">
          <w:marLeft w:val="0"/>
          <w:marRight w:val="0"/>
          <w:marTop w:val="0"/>
          <w:marBottom w:val="0"/>
          <w:divBdr>
            <w:top w:val="none" w:sz="0" w:space="0" w:color="auto"/>
            <w:left w:val="none" w:sz="0" w:space="0" w:color="auto"/>
            <w:bottom w:val="none" w:sz="0" w:space="0" w:color="auto"/>
            <w:right w:val="none" w:sz="0" w:space="0" w:color="auto"/>
          </w:divBdr>
          <w:divsChild>
            <w:div w:id="623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8899">
      <w:bodyDiv w:val="1"/>
      <w:marLeft w:val="0"/>
      <w:marRight w:val="0"/>
      <w:marTop w:val="0"/>
      <w:marBottom w:val="0"/>
      <w:divBdr>
        <w:top w:val="none" w:sz="0" w:space="0" w:color="auto"/>
        <w:left w:val="none" w:sz="0" w:space="0" w:color="auto"/>
        <w:bottom w:val="none" w:sz="0" w:space="0" w:color="auto"/>
        <w:right w:val="none" w:sz="0" w:space="0" w:color="auto"/>
      </w:divBdr>
      <w:divsChild>
        <w:div w:id="146868358">
          <w:marLeft w:val="0"/>
          <w:marRight w:val="0"/>
          <w:marTop w:val="0"/>
          <w:marBottom w:val="0"/>
          <w:divBdr>
            <w:top w:val="none" w:sz="0" w:space="0" w:color="auto"/>
            <w:left w:val="none" w:sz="0" w:space="0" w:color="auto"/>
            <w:bottom w:val="none" w:sz="0" w:space="0" w:color="auto"/>
            <w:right w:val="none" w:sz="0" w:space="0" w:color="auto"/>
          </w:divBdr>
          <w:divsChild>
            <w:div w:id="1643542059">
              <w:marLeft w:val="0"/>
              <w:marRight w:val="0"/>
              <w:marTop w:val="0"/>
              <w:marBottom w:val="0"/>
              <w:divBdr>
                <w:top w:val="none" w:sz="0" w:space="0" w:color="auto"/>
                <w:left w:val="none" w:sz="0" w:space="0" w:color="auto"/>
                <w:bottom w:val="none" w:sz="0" w:space="0" w:color="auto"/>
                <w:right w:val="none" w:sz="0" w:space="0" w:color="auto"/>
              </w:divBdr>
              <w:divsChild>
                <w:div w:id="12107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1914">
      <w:bodyDiv w:val="1"/>
      <w:marLeft w:val="0"/>
      <w:marRight w:val="0"/>
      <w:marTop w:val="0"/>
      <w:marBottom w:val="0"/>
      <w:divBdr>
        <w:top w:val="none" w:sz="0" w:space="0" w:color="auto"/>
        <w:left w:val="none" w:sz="0" w:space="0" w:color="auto"/>
        <w:bottom w:val="none" w:sz="0" w:space="0" w:color="auto"/>
        <w:right w:val="none" w:sz="0" w:space="0" w:color="auto"/>
      </w:divBdr>
      <w:divsChild>
        <w:div w:id="808936252">
          <w:marLeft w:val="0"/>
          <w:marRight w:val="0"/>
          <w:marTop w:val="0"/>
          <w:marBottom w:val="0"/>
          <w:divBdr>
            <w:top w:val="none" w:sz="0" w:space="0" w:color="auto"/>
            <w:left w:val="none" w:sz="0" w:space="0" w:color="auto"/>
            <w:bottom w:val="none" w:sz="0" w:space="0" w:color="auto"/>
            <w:right w:val="none" w:sz="0" w:space="0" w:color="auto"/>
          </w:divBdr>
          <w:divsChild>
            <w:div w:id="5909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3782">
      <w:bodyDiv w:val="1"/>
      <w:marLeft w:val="0"/>
      <w:marRight w:val="0"/>
      <w:marTop w:val="0"/>
      <w:marBottom w:val="0"/>
      <w:divBdr>
        <w:top w:val="none" w:sz="0" w:space="0" w:color="auto"/>
        <w:left w:val="none" w:sz="0" w:space="0" w:color="auto"/>
        <w:bottom w:val="none" w:sz="0" w:space="0" w:color="auto"/>
        <w:right w:val="none" w:sz="0" w:space="0" w:color="auto"/>
      </w:divBdr>
      <w:divsChild>
        <w:div w:id="220017081">
          <w:marLeft w:val="0"/>
          <w:marRight w:val="0"/>
          <w:marTop w:val="0"/>
          <w:marBottom w:val="0"/>
          <w:divBdr>
            <w:top w:val="none" w:sz="0" w:space="0" w:color="auto"/>
            <w:left w:val="none" w:sz="0" w:space="0" w:color="auto"/>
            <w:bottom w:val="none" w:sz="0" w:space="0" w:color="auto"/>
            <w:right w:val="none" w:sz="0" w:space="0" w:color="auto"/>
          </w:divBdr>
          <w:divsChild>
            <w:div w:id="14830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8867">
      <w:bodyDiv w:val="1"/>
      <w:marLeft w:val="0"/>
      <w:marRight w:val="0"/>
      <w:marTop w:val="0"/>
      <w:marBottom w:val="0"/>
      <w:divBdr>
        <w:top w:val="none" w:sz="0" w:space="0" w:color="auto"/>
        <w:left w:val="none" w:sz="0" w:space="0" w:color="auto"/>
        <w:bottom w:val="none" w:sz="0" w:space="0" w:color="auto"/>
        <w:right w:val="none" w:sz="0" w:space="0" w:color="auto"/>
      </w:divBdr>
      <w:divsChild>
        <w:div w:id="1160466158">
          <w:marLeft w:val="0"/>
          <w:marRight w:val="0"/>
          <w:marTop w:val="0"/>
          <w:marBottom w:val="0"/>
          <w:divBdr>
            <w:top w:val="none" w:sz="0" w:space="0" w:color="auto"/>
            <w:left w:val="none" w:sz="0" w:space="0" w:color="auto"/>
            <w:bottom w:val="none" w:sz="0" w:space="0" w:color="auto"/>
            <w:right w:val="none" w:sz="0" w:space="0" w:color="auto"/>
          </w:divBdr>
          <w:divsChild>
            <w:div w:id="8014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39591">
      <w:bodyDiv w:val="1"/>
      <w:marLeft w:val="0"/>
      <w:marRight w:val="0"/>
      <w:marTop w:val="0"/>
      <w:marBottom w:val="0"/>
      <w:divBdr>
        <w:top w:val="none" w:sz="0" w:space="0" w:color="auto"/>
        <w:left w:val="none" w:sz="0" w:space="0" w:color="auto"/>
        <w:bottom w:val="none" w:sz="0" w:space="0" w:color="auto"/>
        <w:right w:val="none" w:sz="0" w:space="0" w:color="auto"/>
      </w:divBdr>
      <w:divsChild>
        <w:div w:id="1170876005">
          <w:marLeft w:val="0"/>
          <w:marRight w:val="0"/>
          <w:marTop w:val="0"/>
          <w:marBottom w:val="0"/>
          <w:divBdr>
            <w:top w:val="none" w:sz="0" w:space="0" w:color="auto"/>
            <w:left w:val="none" w:sz="0" w:space="0" w:color="auto"/>
            <w:bottom w:val="none" w:sz="0" w:space="0" w:color="auto"/>
            <w:right w:val="none" w:sz="0" w:space="0" w:color="auto"/>
          </w:divBdr>
          <w:divsChild>
            <w:div w:id="8797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1085">
      <w:bodyDiv w:val="1"/>
      <w:marLeft w:val="0"/>
      <w:marRight w:val="0"/>
      <w:marTop w:val="0"/>
      <w:marBottom w:val="0"/>
      <w:divBdr>
        <w:top w:val="none" w:sz="0" w:space="0" w:color="auto"/>
        <w:left w:val="none" w:sz="0" w:space="0" w:color="auto"/>
        <w:bottom w:val="none" w:sz="0" w:space="0" w:color="auto"/>
        <w:right w:val="none" w:sz="0" w:space="0" w:color="auto"/>
      </w:divBdr>
      <w:divsChild>
        <w:div w:id="1992715052">
          <w:marLeft w:val="0"/>
          <w:marRight w:val="0"/>
          <w:marTop w:val="0"/>
          <w:marBottom w:val="0"/>
          <w:divBdr>
            <w:top w:val="none" w:sz="0" w:space="0" w:color="auto"/>
            <w:left w:val="none" w:sz="0" w:space="0" w:color="auto"/>
            <w:bottom w:val="none" w:sz="0" w:space="0" w:color="auto"/>
            <w:right w:val="none" w:sz="0" w:space="0" w:color="auto"/>
          </w:divBdr>
          <w:divsChild>
            <w:div w:id="17509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5956">
      <w:bodyDiv w:val="1"/>
      <w:marLeft w:val="0"/>
      <w:marRight w:val="0"/>
      <w:marTop w:val="0"/>
      <w:marBottom w:val="0"/>
      <w:divBdr>
        <w:top w:val="none" w:sz="0" w:space="0" w:color="auto"/>
        <w:left w:val="none" w:sz="0" w:space="0" w:color="auto"/>
        <w:bottom w:val="none" w:sz="0" w:space="0" w:color="auto"/>
        <w:right w:val="none" w:sz="0" w:space="0" w:color="auto"/>
      </w:divBdr>
      <w:divsChild>
        <w:div w:id="1999384753">
          <w:marLeft w:val="0"/>
          <w:marRight w:val="0"/>
          <w:marTop w:val="0"/>
          <w:marBottom w:val="0"/>
          <w:divBdr>
            <w:top w:val="none" w:sz="0" w:space="0" w:color="auto"/>
            <w:left w:val="none" w:sz="0" w:space="0" w:color="auto"/>
            <w:bottom w:val="none" w:sz="0" w:space="0" w:color="auto"/>
            <w:right w:val="none" w:sz="0" w:space="0" w:color="auto"/>
          </w:divBdr>
          <w:divsChild>
            <w:div w:id="11540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7399">
      <w:bodyDiv w:val="1"/>
      <w:marLeft w:val="0"/>
      <w:marRight w:val="0"/>
      <w:marTop w:val="0"/>
      <w:marBottom w:val="0"/>
      <w:divBdr>
        <w:top w:val="none" w:sz="0" w:space="0" w:color="auto"/>
        <w:left w:val="none" w:sz="0" w:space="0" w:color="auto"/>
        <w:bottom w:val="none" w:sz="0" w:space="0" w:color="auto"/>
        <w:right w:val="none" w:sz="0" w:space="0" w:color="auto"/>
      </w:divBdr>
      <w:divsChild>
        <w:div w:id="1865824651">
          <w:marLeft w:val="0"/>
          <w:marRight w:val="0"/>
          <w:marTop w:val="0"/>
          <w:marBottom w:val="0"/>
          <w:divBdr>
            <w:top w:val="none" w:sz="0" w:space="0" w:color="auto"/>
            <w:left w:val="none" w:sz="0" w:space="0" w:color="auto"/>
            <w:bottom w:val="none" w:sz="0" w:space="0" w:color="auto"/>
            <w:right w:val="none" w:sz="0" w:space="0" w:color="auto"/>
          </w:divBdr>
          <w:divsChild>
            <w:div w:id="1775126050">
              <w:marLeft w:val="0"/>
              <w:marRight w:val="0"/>
              <w:marTop w:val="0"/>
              <w:marBottom w:val="0"/>
              <w:divBdr>
                <w:top w:val="none" w:sz="0" w:space="0" w:color="auto"/>
                <w:left w:val="none" w:sz="0" w:space="0" w:color="auto"/>
                <w:bottom w:val="none" w:sz="0" w:space="0" w:color="auto"/>
                <w:right w:val="none" w:sz="0" w:space="0" w:color="auto"/>
              </w:divBdr>
              <w:divsChild>
                <w:div w:id="2056464172">
                  <w:marLeft w:val="0"/>
                  <w:marRight w:val="0"/>
                  <w:marTop w:val="0"/>
                  <w:marBottom w:val="0"/>
                  <w:divBdr>
                    <w:top w:val="none" w:sz="0" w:space="0" w:color="auto"/>
                    <w:left w:val="none" w:sz="0" w:space="0" w:color="auto"/>
                    <w:bottom w:val="none" w:sz="0" w:space="0" w:color="auto"/>
                    <w:right w:val="none" w:sz="0" w:space="0" w:color="auto"/>
                  </w:divBdr>
                </w:div>
                <w:div w:id="2090691100">
                  <w:marLeft w:val="0"/>
                  <w:marRight w:val="0"/>
                  <w:marTop w:val="0"/>
                  <w:marBottom w:val="0"/>
                  <w:divBdr>
                    <w:top w:val="none" w:sz="0" w:space="0" w:color="auto"/>
                    <w:left w:val="none" w:sz="0" w:space="0" w:color="auto"/>
                    <w:bottom w:val="none" w:sz="0" w:space="0" w:color="auto"/>
                    <w:right w:val="none" w:sz="0" w:space="0" w:color="auto"/>
                  </w:divBdr>
                </w:div>
              </w:divsChild>
            </w:div>
            <w:div w:id="103964521">
              <w:marLeft w:val="0"/>
              <w:marRight w:val="0"/>
              <w:marTop w:val="0"/>
              <w:marBottom w:val="0"/>
              <w:divBdr>
                <w:top w:val="none" w:sz="0" w:space="0" w:color="auto"/>
                <w:left w:val="none" w:sz="0" w:space="0" w:color="auto"/>
                <w:bottom w:val="none" w:sz="0" w:space="0" w:color="auto"/>
                <w:right w:val="none" w:sz="0" w:space="0" w:color="auto"/>
              </w:divBdr>
              <w:divsChild>
                <w:div w:id="1305890307">
                  <w:marLeft w:val="0"/>
                  <w:marRight w:val="0"/>
                  <w:marTop w:val="0"/>
                  <w:marBottom w:val="0"/>
                  <w:divBdr>
                    <w:top w:val="none" w:sz="0" w:space="0" w:color="auto"/>
                    <w:left w:val="none" w:sz="0" w:space="0" w:color="auto"/>
                    <w:bottom w:val="none" w:sz="0" w:space="0" w:color="auto"/>
                    <w:right w:val="none" w:sz="0" w:space="0" w:color="auto"/>
                  </w:divBdr>
                  <w:divsChild>
                    <w:div w:id="688484138">
                      <w:marLeft w:val="0"/>
                      <w:marRight w:val="0"/>
                      <w:marTop w:val="0"/>
                      <w:marBottom w:val="0"/>
                      <w:divBdr>
                        <w:top w:val="none" w:sz="0" w:space="0" w:color="auto"/>
                        <w:left w:val="none" w:sz="0" w:space="0" w:color="auto"/>
                        <w:bottom w:val="none" w:sz="0" w:space="0" w:color="auto"/>
                        <w:right w:val="none" w:sz="0" w:space="0" w:color="auto"/>
                      </w:divBdr>
                    </w:div>
                  </w:divsChild>
                </w:div>
                <w:div w:id="1387140472">
                  <w:marLeft w:val="0"/>
                  <w:marRight w:val="0"/>
                  <w:marTop w:val="0"/>
                  <w:marBottom w:val="0"/>
                  <w:divBdr>
                    <w:top w:val="none" w:sz="0" w:space="0" w:color="auto"/>
                    <w:left w:val="none" w:sz="0" w:space="0" w:color="auto"/>
                    <w:bottom w:val="none" w:sz="0" w:space="0" w:color="auto"/>
                    <w:right w:val="none" w:sz="0" w:space="0" w:color="auto"/>
                  </w:divBdr>
                  <w:divsChild>
                    <w:div w:id="1646742212">
                      <w:marLeft w:val="0"/>
                      <w:marRight w:val="0"/>
                      <w:marTop w:val="0"/>
                      <w:marBottom w:val="0"/>
                      <w:divBdr>
                        <w:top w:val="none" w:sz="0" w:space="0" w:color="auto"/>
                        <w:left w:val="none" w:sz="0" w:space="0" w:color="auto"/>
                        <w:bottom w:val="none" w:sz="0" w:space="0" w:color="auto"/>
                        <w:right w:val="none" w:sz="0" w:space="0" w:color="auto"/>
                      </w:divBdr>
                    </w:div>
                  </w:divsChild>
                </w:div>
                <w:div w:id="660624213">
                  <w:marLeft w:val="0"/>
                  <w:marRight w:val="0"/>
                  <w:marTop w:val="0"/>
                  <w:marBottom w:val="0"/>
                  <w:divBdr>
                    <w:top w:val="none" w:sz="0" w:space="0" w:color="auto"/>
                    <w:left w:val="none" w:sz="0" w:space="0" w:color="auto"/>
                    <w:bottom w:val="none" w:sz="0" w:space="0" w:color="auto"/>
                    <w:right w:val="none" w:sz="0" w:space="0" w:color="auto"/>
                  </w:divBdr>
                  <w:divsChild>
                    <w:div w:id="8295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000022">
      <w:bodyDiv w:val="1"/>
      <w:marLeft w:val="0"/>
      <w:marRight w:val="0"/>
      <w:marTop w:val="0"/>
      <w:marBottom w:val="0"/>
      <w:divBdr>
        <w:top w:val="none" w:sz="0" w:space="0" w:color="auto"/>
        <w:left w:val="none" w:sz="0" w:space="0" w:color="auto"/>
        <w:bottom w:val="none" w:sz="0" w:space="0" w:color="auto"/>
        <w:right w:val="none" w:sz="0" w:space="0" w:color="auto"/>
      </w:divBdr>
      <w:divsChild>
        <w:div w:id="112752772">
          <w:marLeft w:val="0"/>
          <w:marRight w:val="0"/>
          <w:marTop w:val="0"/>
          <w:marBottom w:val="0"/>
          <w:divBdr>
            <w:top w:val="none" w:sz="0" w:space="0" w:color="auto"/>
            <w:left w:val="none" w:sz="0" w:space="0" w:color="auto"/>
            <w:bottom w:val="none" w:sz="0" w:space="0" w:color="auto"/>
            <w:right w:val="none" w:sz="0" w:space="0" w:color="auto"/>
          </w:divBdr>
          <w:divsChild>
            <w:div w:id="7785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8615">
      <w:bodyDiv w:val="1"/>
      <w:marLeft w:val="0"/>
      <w:marRight w:val="0"/>
      <w:marTop w:val="0"/>
      <w:marBottom w:val="0"/>
      <w:divBdr>
        <w:top w:val="none" w:sz="0" w:space="0" w:color="auto"/>
        <w:left w:val="none" w:sz="0" w:space="0" w:color="auto"/>
        <w:bottom w:val="none" w:sz="0" w:space="0" w:color="auto"/>
        <w:right w:val="none" w:sz="0" w:space="0" w:color="auto"/>
      </w:divBdr>
      <w:divsChild>
        <w:div w:id="532304162">
          <w:marLeft w:val="0"/>
          <w:marRight w:val="0"/>
          <w:marTop w:val="0"/>
          <w:marBottom w:val="0"/>
          <w:divBdr>
            <w:top w:val="none" w:sz="0" w:space="0" w:color="auto"/>
            <w:left w:val="none" w:sz="0" w:space="0" w:color="auto"/>
            <w:bottom w:val="none" w:sz="0" w:space="0" w:color="auto"/>
            <w:right w:val="none" w:sz="0" w:space="0" w:color="auto"/>
          </w:divBdr>
          <w:divsChild>
            <w:div w:id="20840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6963">
      <w:bodyDiv w:val="1"/>
      <w:marLeft w:val="0"/>
      <w:marRight w:val="0"/>
      <w:marTop w:val="0"/>
      <w:marBottom w:val="0"/>
      <w:divBdr>
        <w:top w:val="none" w:sz="0" w:space="0" w:color="auto"/>
        <w:left w:val="none" w:sz="0" w:space="0" w:color="auto"/>
        <w:bottom w:val="none" w:sz="0" w:space="0" w:color="auto"/>
        <w:right w:val="none" w:sz="0" w:space="0" w:color="auto"/>
      </w:divBdr>
      <w:divsChild>
        <w:div w:id="1525171559">
          <w:marLeft w:val="0"/>
          <w:marRight w:val="0"/>
          <w:marTop w:val="0"/>
          <w:marBottom w:val="0"/>
          <w:divBdr>
            <w:top w:val="none" w:sz="0" w:space="0" w:color="auto"/>
            <w:left w:val="none" w:sz="0" w:space="0" w:color="auto"/>
            <w:bottom w:val="none" w:sz="0" w:space="0" w:color="auto"/>
            <w:right w:val="none" w:sz="0" w:space="0" w:color="auto"/>
          </w:divBdr>
          <w:divsChild>
            <w:div w:id="11660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3982">
      <w:bodyDiv w:val="1"/>
      <w:marLeft w:val="0"/>
      <w:marRight w:val="0"/>
      <w:marTop w:val="0"/>
      <w:marBottom w:val="0"/>
      <w:divBdr>
        <w:top w:val="none" w:sz="0" w:space="0" w:color="auto"/>
        <w:left w:val="none" w:sz="0" w:space="0" w:color="auto"/>
        <w:bottom w:val="none" w:sz="0" w:space="0" w:color="auto"/>
        <w:right w:val="none" w:sz="0" w:space="0" w:color="auto"/>
      </w:divBdr>
      <w:divsChild>
        <w:div w:id="428694148">
          <w:marLeft w:val="0"/>
          <w:marRight w:val="0"/>
          <w:marTop w:val="0"/>
          <w:marBottom w:val="0"/>
          <w:divBdr>
            <w:top w:val="none" w:sz="0" w:space="0" w:color="auto"/>
            <w:left w:val="none" w:sz="0" w:space="0" w:color="auto"/>
            <w:bottom w:val="none" w:sz="0" w:space="0" w:color="auto"/>
            <w:right w:val="none" w:sz="0" w:space="0" w:color="auto"/>
          </w:divBdr>
          <w:divsChild>
            <w:div w:id="1253319606">
              <w:marLeft w:val="0"/>
              <w:marRight w:val="0"/>
              <w:marTop w:val="0"/>
              <w:marBottom w:val="0"/>
              <w:divBdr>
                <w:top w:val="none" w:sz="0" w:space="0" w:color="auto"/>
                <w:left w:val="none" w:sz="0" w:space="0" w:color="auto"/>
                <w:bottom w:val="none" w:sz="0" w:space="0" w:color="auto"/>
                <w:right w:val="none" w:sz="0" w:space="0" w:color="auto"/>
              </w:divBdr>
              <w:divsChild>
                <w:div w:id="3324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2452">
      <w:bodyDiv w:val="1"/>
      <w:marLeft w:val="0"/>
      <w:marRight w:val="0"/>
      <w:marTop w:val="0"/>
      <w:marBottom w:val="0"/>
      <w:divBdr>
        <w:top w:val="none" w:sz="0" w:space="0" w:color="auto"/>
        <w:left w:val="none" w:sz="0" w:space="0" w:color="auto"/>
        <w:bottom w:val="none" w:sz="0" w:space="0" w:color="auto"/>
        <w:right w:val="none" w:sz="0" w:space="0" w:color="auto"/>
      </w:divBdr>
      <w:divsChild>
        <w:div w:id="2098482145">
          <w:marLeft w:val="0"/>
          <w:marRight w:val="0"/>
          <w:marTop w:val="0"/>
          <w:marBottom w:val="0"/>
          <w:divBdr>
            <w:top w:val="none" w:sz="0" w:space="0" w:color="auto"/>
            <w:left w:val="none" w:sz="0" w:space="0" w:color="auto"/>
            <w:bottom w:val="none" w:sz="0" w:space="0" w:color="auto"/>
            <w:right w:val="none" w:sz="0" w:space="0" w:color="auto"/>
          </w:divBdr>
          <w:divsChild>
            <w:div w:id="8910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3935">
      <w:bodyDiv w:val="1"/>
      <w:marLeft w:val="0"/>
      <w:marRight w:val="0"/>
      <w:marTop w:val="0"/>
      <w:marBottom w:val="0"/>
      <w:divBdr>
        <w:top w:val="none" w:sz="0" w:space="0" w:color="auto"/>
        <w:left w:val="none" w:sz="0" w:space="0" w:color="auto"/>
        <w:bottom w:val="none" w:sz="0" w:space="0" w:color="auto"/>
        <w:right w:val="none" w:sz="0" w:space="0" w:color="auto"/>
      </w:divBdr>
      <w:divsChild>
        <w:div w:id="202795410">
          <w:marLeft w:val="0"/>
          <w:marRight w:val="0"/>
          <w:marTop w:val="0"/>
          <w:marBottom w:val="0"/>
          <w:divBdr>
            <w:top w:val="none" w:sz="0" w:space="0" w:color="auto"/>
            <w:left w:val="none" w:sz="0" w:space="0" w:color="auto"/>
            <w:bottom w:val="none" w:sz="0" w:space="0" w:color="auto"/>
            <w:right w:val="none" w:sz="0" w:space="0" w:color="auto"/>
          </w:divBdr>
          <w:divsChild>
            <w:div w:id="20199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48567">
      <w:bodyDiv w:val="1"/>
      <w:marLeft w:val="0"/>
      <w:marRight w:val="0"/>
      <w:marTop w:val="0"/>
      <w:marBottom w:val="0"/>
      <w:divBdr>
        <w:top w:val="none" w:sz="0" w:space="0" w:color="auto"/>
        <w:left w:val="none" w:sz="0" w:space="0" w:color="auto"/>
        <w:bottom w:val="none" w:sz="0" w:space="0" w:color="auto"/>
        <w:right w:val="none" w:sz="0" w:space="0" w:color="auto"/>
      </w:divBdr>
      <w:divsChild>
        <w:div w:id="1922254500">
          <w:marLeft w:val="0"/>
          <w:marRight w:val="0"/>
          <w:marTop w:val="0"/>
          <w:marBottom w:val="0"/>
          <w:divBdr>
            <w:top w:val="none" w:sz="0" w:space="0" w:color="auto"/>
            <w:left w:val="none" w:sz="0" w:space="0" w:color="auto"/>
            <w:bottom w:val="none" w:sz="0" w:space="0" w:color="auto"/>
            <w:right w:val="none" w:sz="0" w:space="0" w:color="auto"/>
          </w:divBdr>
          <w:divsChild>
            <w:div w:id="11737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7312">
      <w:bodyDiv w:val="1"/>
      <w:marLeft w:val="0"/>
      <w:marRight w:val="0"/>
      <w:marTop w:val="0"/>
      <w:marBottom w:val="0"/>
      <w:divBdr>
        <w:top w:val="none" w:sz="0" w:space="0" w:color="auto"/>
        <w:left w:val="none" w:sz="0" w:space="0" w:color="auto"/>
        <w:bottom w:val="none" w:sz="0" w:space="0" w:color="auto"/>
        <w:right w:val="none" w:sz="0" w:space="0" w:color="auto"/>
      </w:divBdr>
      <w:divsChild>
        <w:div w:id="1721397617">
          <w:marLeft w:val="0"/>
          <w:marRight w:val="0"/>
          <w:marTop w:val="0"/>
          <w:marBottom w:val="0"/>
          <w:divBdr>
            <w:top w:val="none" w:sz="0" w:space="0" w:color="auto"/>
            <w:left w:val="none" w:sz="0" w:space="0" w:color="auto"/>
            <w:bottom w:val="none" w:sz="0" w:space="0" w:color="auto"/>
            <w:right w:val="none" w:sz="0" w:space="0" w:color="auto"/>
          </w:divBdr>
          <w:divsChild>
            <w:div w:id="7639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46566">
      <w:bodyDiv w:val="1"/>
      <w:marLeft w:val="0"/>
      <w:marRight w:val="0"/>
      <w:marTop w:val="0"/>
      <w:marBottom w:val="0"/>
      <w:divBdr>
        <w:top w:val="none" w:sz="0" w:space="0" w:color="auto"/>
        <w:left w:val="none" w:sz="0" w:space="0" w:color="auto"/>
        <w:bottom w:val="none" w:sz="0" w:space="0" w:color="auto"/>
        <w:right w:val="none" w:sz="0" w:space="0" w:color="auto"/>
      </w:divBdr>
      <w:divsChild>
        <w:div w:id="2096589665">
          <w:marLeft w:val="0"/>
          <w:marRight w:val="0"/>
          <w:marTop w:val="0"/>
          <w:marBottom w:val="0"/>
          <w:divBdr>
            <w:top w:val="none" w:sz="0" w:space="0" w:color="auto"/>
            <w:left w:val="none" w:sz="0" w:space="0" w:color="auto"/>
            <w:bottom w:val="none" w:sz="0" w:space="0" w:color="auto"/>
            <w:right w:val="none" w:sz="0" w:space="0" w:color="auto"/>
          </w:divBdr>
          <w:divsChild>
            <w:div w:id="10464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3772">
      <w:bodyDiv w:val="1"/>
      <w:marLeft w:val="0"/>
      <w:marRight w:val="0"/>
      <w:marTop w:val="0"/>
      <w:marBottom w:val="0"/>
      <w:divBdr>
        <w:top w:val="none" w:sz="0" w:space="0" w:color="auto"/>
        <w:left w:val="none" w:sz="0" w:space="0" w:color="auto"/>
        <w:bottom w:val="none" w:sz="0" w:space="0" w:color="auto"/>
        <w:right w:val="none" w:sz="0" w:space="0" w:color="auto"/>
      </w:divBdr>
      <w:divsChild>
        <w:div w:id="1338776175">
          <w:marLeft w:val="0"/>
          <w:marRight w:val="0"/>
          <w:marTop w:val="0"/>
          <w:marBottom w:val="0"/>
          <w:divBdr>
            <w:top w:val="none" w:sz="0" w:space="0" w:color="auto"/>
            <w:left w:val="none" w:sz="0" w:space="0" w:color="auto"/>
            <w:bottom w:val="none" w:sz="0" w:space="0" w:color="auto"/>
            <w:right w:val="none" w:sz="0" w:space="0" w:color="auto"/>
          </w:divBdr>
          <w:divsChild>
            <w:div w:id="1117412070">
              <w:marLeft w:val="0"/>
              <w:marRight w:val="0"/>
              <w:marTop w:val="0"/>
              <w:marBottom w:val="0"/>
              <w:divBdr>
                <w:top w:val="none" w:sz="0" w:space="0" w:color="auto"/>
                <w:left w:val="none" w:sz="0" w:space="0" w:color="auto"/>
                <w:bottom w:val="none" w:sz="0" w:space="0" w:color="auto"/>
                <w:right w:val="none" w:sz="0" w:space="0" w:color="auto"/>
              </w:divBdr>
              <w:divsChild>
                <w:div w:id="21009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143">
      <w:bodyDiv w:val="1"/>
      <w:marLeft w:val="0"/>
      <w:marRight w:val="0"/>
      <w:marTop w:val="0"/>
      <w:marBottom w:val="0"/>
      <w:divBdr>
        <w:top w:val="none" w:sz="0" w:space="0" w:color="auto"/>
        <w:left w:val="none" w:sz="0" w:space="0" w:color="auto"/>
        <w:bottom w:val="none" w:sz="0" w:space="0" w:color="auto"/>
        <w:right w:val="none" w:sz="0" w:space="0" w:color="auto"/>
      </w:divBdr>
      <w:divsChild>
        <w:div w:id="1326860898">
          <w:marLeft w:val="0"/>
          <w:marRight w:val="0"/>
          <w:marTop w:val="0"/>
          <w:marBottom w:val="0"/>
          <w:divBdr>
            <w:top w:val="none" w:sz="0" w:space="0" w:color="auto"/>
            <w:left w:val="none" w:sz="0" w:space="0" w:color="auto"/>
            <w:bottom w:val="none" w:sz="0" w:space="0" w:color="auto"/>
            <w:right w:val="none" w:sz="0" w:space="0" w:color="auto"/>
          </w:divBdr>
          <w:divsChild>
            <w:div w:id="5973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2922">
      <w:bodyDiv w:val="1"/>
      <w:marLeft w:val="0"/>
      <w:marRight w:val="0"/>
      <w:marTop w:val="0"/>
      <w:marBottom w:val="0"/>
      <w:divBdr>
        <w:top w:val="none" w:sz="0" w:space="0" w:color="auto"/>
        <w:left w:val="none" w:sz="0" w:space="0" w:color="auto"/>
        <w:bottom w:val="none" w:sz="0" w:space="0" w:color="auto"/>
        <w:right w:val="none" w:sz="0" w:space="0" w:color="auto"/>
      </w:divBdr>
      <w:divsChild>
        <w:div w:id="1503666332">
          <w:marLeft w:val="0"/>
          <w:marRight w:val="0"/>
          <w:marTop w:val="0"/>
          <w:marBottom w:val="0"/>
          <w:divBdr>
            <w:top w:val="none" w:sz="0" w:space="0" w:color="auto"/>
            <w:left w:val="none" w:sz="0" w:space="0" w:color="auto"/>
            <w:bottom w:val="none" w:sz="0" w:space="0" w:color="auto"/>
            <w:right w:val="none" w:sz="0" w:space="0" w:color="auto"/>
          </w:divBdr>
          <w:divsChild>
            <w:div w:id="1242913217">
              <w:marLeft w:val="0"/>
              <w:marRight w:val="0"/>
              <w:marTop w:val="0"/>
              <w:marBottom w:val="0"/>
              <w:divBdr>
                <w:top w:val="none" w:sz="0" w:space="0" w:color="auto"/>
                <w:left w:val="none" w:sz="0" w:space="0" w:color="auto"/>
                <w:bottom w:val="none" w:sz="0" w:space="0" w:color="auto"/>
                <w:right w:val="none" w:sz="0" w:space="0" w:color="auto"/>
              </w:divBdr>
              <w:divsChild>
                <w:div w:id="9303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14606">
      <w:bodyDiv w:val="1"/>
      <w:marLeft w:val="0"/>
      <w:marRight w:val="0"/>
      <w:marTop w:val="0"/>
      <w:marBottom w:val="0"/>
      <w:divBdr>
        <w:top w:val="none" w:sz="0" w:space="0" w:color="auto"/>
        <w:left w:val="none" w:sz="0" w:space="0" w:color="auto"/>
        <w:bottom w:val="none" w:sz="0" w:space="0" w:color="auto"/>
        <w:right w:val="none" w:sz="0" w:space="0" w:color="auto"/>
      </w:divBdr>
      <w:divsChild>
        <w:div w:id="516236511">
          <w:marLeft w:val="0"/>
          <w:marRight w:val="0"/>
          <w:marTop w:val="0"/>
          <w:marBottom w:val="0"/>
          <w:divBdr>
            <w:top w:val="none" w:sz="0" w:space="0" w:color="auto"/>
            <w:left w:val="none" w:sz="0" w:space="0" w:color="auto"/>
            <w:bottom w:val="none" w:sz="0" w:space="0" w:color="auto"/>
            <w:right w:val="none" w:sz="0" w:space="0" w:color="auto"/>
          </w:divBdr>
          <w:divsChild>
            <w:div w:id="20067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4931">
      <w:bodyDiv w:val="1"/>
      <w:marLeft w:val="0"/>
      <w:marRight w:val="0"/>
      <w:marTop w:val="0"/>
      <w:marBottom w:val="0"/>
      <w:divBdr>
        <w:top w:val="none" w:sz="0" w:space="0" w:color="auto"/>
        <w:left w:val="none" w:sz="0" w:space="0" w:color="auto"/>
        <w:bottom w:val="none" w:sz="0" w:space="0" w:color="auto"/>
        <w:right w:val="none" w:sz="0" w:space="0" w:color="auto"/>
      </w:divBdr>
      <w:divsChild>
        <w:div w:id="229385533">
          <w:marLeft w:val="0"/>
          <w:marRight w:val="0"/>
          <w:marTop w:val="0"/>
          <w:marBottom w:val="0"/>
          <w:divBdr>
            <w:top w:val="none" w:sz="0" w:space="0" w:color="auto"/>
            <w:left w:val="none" w:sz="0" w:space="0" w:color="auto"/>
            <w:bottom w:val="none" w:sz="0" w:space="0" w:color="auto"/>
            <w:right w:val="none" w:sz="0" w:space="0" w:color="auto"/>
          </w:divBdr>
          <w:divsChild>
            <w:div w:id="10679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0240">
      <w:bodyDiv w:val="1"/>
      <w:marLeft w:val="0"/>
      <w:marRight w:val="0"/>
      <w:marTop w:val="0"/>
      <w:marBottom w:val="0"/>
      <w:divBdr>
        <w:top w:val="none" w:sz="0" w:space="0" w:color="auto"/>
        <w:left w:val="none" w:sz="0" w:space="0" w:color="auto"/>
        <w:bottom w:val="none" w:sz="0" w:space="0" w:color="auto"/>
        <w:right w:val="none" w:sz="0" w:space="0" w:color="auto"/>
      </w:divBdr>
      <w:divsChild>
        <w:div w:id="917714869">
          <w:marLeft w:val="0"/>
          <w:marRight w:val="0"/>
          <w:marTop w:val="0"/>
          <w:marBottom w:val="0"/>
          <w:divBdr>
            <w:top w:val="none" w:sz="0" w:space="0" w:color="auto"/>
            <w:left w:val="none" w:sz="0" w:space="0" w:color="auto"/>
            <w:bottom w:val="none" w:sz="0" w:space="0" w:color="auto"/>
            <w:right w:val="none" w:sz="0" w:space="0" w:color="auto"/>
          </w:divBdr>
          <w:divsChild>
            <w:div w:id="15119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5129">
      <w:bodyDiv w:val="1"/>
      <w:marLeft w:val="0"/>
      <w:marRight w:val="0"/>
      <w:marTop w:val="0"/>
      <w:marBottom w:val="0"/>
      <w:divBdr>
        <w:top w:val="none" w:sz="0" w:space="0" w:color="auto"/>
        <w:left w:val="none" w:sz="0" w:space="0" w:color="auto"/>
        <w:bottom w:val="none" w:sz="0" w:space="0" w:color="auto"/>
        <w:right w:val="none" w:sz="0" w:space="0" w:color="auto"/>
      </w:divBdr>
      <w:divsChild>
        <w:div w:id="800270083">
          <w:marLeft w:val="0"/>
          <w:marRight w:val="0"/>
          <w:marTop w:val="0"/>
          <w:marBottom w:val="0"/>
          <w:divBdr>
            <w:top w:val="none" w:sz="0" w:space="0" w:color="auto"/>
            <w:left w:val="none" w:sz="0" w:space="0" w:color="auto"/>
            <w:bottom w:val="none" w:sz="0" w:space="0" w:color="auto"/>
            <w:right w:val="none" w:sz="0" w:space="0" w:color="auto"/>
          </w:divBdr>
          <w:divsChild>
            <w:div w:id="1873030105">
              <w:marLeft w:val="0"/>
              <w:marRight w:val="0"/>
              <w:marTop w:val="0"/>
              <w:marBottom w:val="0"/>
              <w:divBdr>
                <w:top w:val="none" w:sz="0" w:space="0" w:color="auto"/>
                <w:left w:val="none" w:sz="0" w:space="0" w:color="auto"/>
                <w:bottom w:val="none" w:sz="0" w:space="0" w:color="auto"/>
                <w:right w:val="none" w:sz="0" w:space="0" w:color="auto"/>
              </w:divBdr>
              <w:divsChild>
                <w:div w:id="1313144947">
                  <w:marLeft w:val="0"/>
                  <w:marRight w:val="0"/>
                  <w:marTop w:val="0"/>
                  <w:marBottom w:val="0"/>
                  <w:divBdr>
                    <w:top w:val="none" w:sz="0" w:space="0" w:color="auto"/>
                    <w:left w:val="none" w:sz="0" w:space="0" w:color="auto"/>
                    <w:bottom w:val="none" w:sz="0" w:space="0" w:color="auto"/>
                    <w:right w:val="none" w:sz="0" w:space="0" w:color="auto"/>
                  </w:divBdr>
                </w:div>
                <w:div w:id="10990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5633">
      <w:bodyDiv w:val="1"/>
      <w:marLeft w:val="0"/>
      <w:marRight w:val="0"/>
      <w:marTop w:val="0"/>
      <w:marBottom w:val="0"/>
      <w:divBdr>
        <w:top w:val="none" w:sz="0" w:space="0" w:color="auto"/>
        <w:left w:val="none" w:sz="0" w:space="0" w:color="auto"/>
        <w:bottom w:val="none" w:sz="0" w:space="0" w:color="auto"/>
        <w:right w:val="none" w:sz="0" w:space="0" w:color="auto"/>
      </w:divBdr>
      <w:divsChild>
        <w:div w:id="1065253057">
          <w:marLeft w:val="0"/>
          <w:marRight w:val="0"/>
          <w:marTop w:val="0"/>
          <w:marBottom w:val="0"/>
          <w:divBdr>
            <w:top w:val="none" w:sz="0" w:space="0" w:color="auto"/>
            <w:left w:val="none" w:sz="0" w:space="0" w:color="auto"/>
            <w:bottom w:val="none" w:sz="0" w:space="0" w:color="auto"/>
            <w:right w:val="none" w:sz="0" w:space="0" w:color="auto"/>
          </w:divBdr>
          <w:divsChild>
            <w:div w:id="411784392">
              <w:marLeft w:val="0"/>
              <w:marRight w:val="0"/>
              <w:marTop w:val="0"/>
              <w:marBottom w:val="0"/>
              <w:divBdr>
                <w:top w:val="none" w:sz="0" w:space="0" w:color="auto"/>
                <w:left w:val="none" w:sz="0" w:space="0" w:color="auto"/>
                <w:bottom w:val="none" w:sz="0" w:space="0" w:color="auto"/>
                <w:right w:val="none" w:sz="0" w:space="0" w:color="auto"/>
              </w:divBdr>
            </w:div>
            <w:div w:id="6658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776">
      <w:bodyDiv w:val="1"/>
      <w:marLeft w:val="0"/>
      <w:marRight w:val="0"/>
      <w:marTop w:val="0"/>
      <w:marBottom w:val="0"/>
      <w:divBdr>
        <w:top w:val="none" w:sz="0" w:space="0" w:color="auto"/>
        <w:left w:val="none" w:sz="0" w:space="0" w:color="auto"/>
        <w:bottom w:val="none" w:sz="0" w:space="0" w:color="auto"/>
        <w:right w:val="none" w:sz="0" w:space="0" w:color="auto"/>
      </w:divBdr>
      <w:divsChild>
        <w:div w:id="1818768165">
          <w:marLeft w:val="0"/>
          <w:marRight w:val="0"/>
          <w:marTop w:val="0"/>
          <w:marBottom w:val="0"/>
          <w:divBdr>
            <w:top w:val="none" w:sz="0" w:space="0" w:color="auto"/>
            <w:left w:val="none" w:sz="0" w:space="0" w:color="auto"/>
            <w:bottom w:val="none" w:sz="0" w:space="0" w:color="auto"/>
            <w:right w:val="none" w:sz="0" w:space="0" w:color="auto"/>
          </w:divBdr>
          <w:divsChild>
            <w:div w:id="943998186">
              <w:marLeft w:val="0"/>
              <w:marRight w:val="0"/>
              <w:marTop w:val="0"/>
              <w:marBottom w:val="0"/>
              <w:divBdr>
                <w:top w:val="none" w:sz="0" w:space="0" w:color="auto"/>
                <w:left w:val="none" w:sz="0" w:space="0" w:color="auto"/>
                <w:bottom w:val="none" w:sz="0" w:space="0" w:color="auto"/>
                <w:right w:val="none" w:sz="0" w:space="0" w:color="auto"/>
              </w:divBdr>
              <w:divsChild>
                <w:div w:id="1983652992">
                  <w:marLeft w:val="0"/>
                  <w:marRight w:val="0"/>
                  <w:marTop w:val="0"/>
                  <w:marBottom w:val="0"/>
                  <w:divBdr>
                    <w:top w:val="none" w:sz="0" w:space="0" w:color="auto"/>
                    <w:left w:val="none" w:sz="0" w:space="0" w:color="auto"/>
                    <w:bottom w:val="none" w:sz="0" w:space="0" w:color="auto"/>
                    <w:right w:val="none" w:sz="0" w:space="0" w:color="auto"/>
                  </w:divBdr>
                </w:div>
                <w:div w:id="14526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2516">
      <w:bodyDiv w:val="1"/>
      <w:marLeft w:val="0"/>
      <w:marRight w:val="0"/>
      <w:marTop w:val="0"/>
      <w:marBottom w:val="0"/>
      <w:divBdr>
        <w:top w:val="none" w:sz="0" w:space="0" w:color="auto"/>
        <w:left w:val="none" w:sz="0" w:space="0" w:color="auto"/>
        <w:bottom w:val="none" w:sz="0" w:space="0" w:color="auto"/>
        <w:right w:val="none" w:sz="0" w:space="0" w:color="auto"/>
      </w:divBdr>
      <w:divsChild>
        <w:div w:id="61220584">
          <w:marLeft w:val="0"/>
          <w:marRight w:val="0"/>
          <w:marTop w:val="0"/>
          <w:marBottom w:val="0"/>
          <w:divBdr>
            <w:top w:val="none" w:sz="0" w:space="0" w:color="auto"/>
            <w:left w:val="none" w:sz="0" w:space="0" w:color="auto"/>
            <w:bottom w:val="none" w:sz="0" w:space="0" w:color="auto"/>
            <w:right w:val="none" w:sz="0" w:space="0" w:color="auto"/>
          </w:divBdr>
          <w:divsChild>
            <w:div w:id="756634920">
              <w:marLeft w:val="0"/>
              <w:marRight w:val="0"/>
              <w:marTop w:val="0"/>
              <w:marBottom w:val="0"/>
              <w:divBdr>
                <w:top w:val="none" w:sz="0" w:space="0" w:color="auto"/>
                <w:left w:val="none" w:sz="0" w:space="0" w:color="auto"/>
                <w:bottom w:val="none" w:sz="0" w:space="0" w:color="auto"/>
                <w:right w:val="none" w:sz="0" w:space="0" w:color="auto"/>
              </w:divBdr>
              <w:divsChild>
                <w:div w:id="9144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9682">
      <w:bodyDiv w:val="1"/>
      <w:marLeft w:val="0"/>
      <w:marRight w:val="0"/>
      <w:marTop w:val="0"/>
      <w:marBottom w:val="0"/>
      <w:divBdr>
        <w:top w:val="none" w:sz="0" w:space="0" w:color="auto"/>
        <w:left w:val="none" w:sz="0" w:space="0" w:color="auto"/>
        <w:bottom w:val="none" w:sz="0" w:space="0" w:color="auto"/>
        <w:right w:val="none" w:sz="0" w:space="0" w:color="auto"/>
      </w:divBdr>
      <w:divsChild>
        <w:div w:id="829709316">
          <w:marLeft w:val="0"/>
          <w:marRight w:val="0"/>
          <w:marTop w:val="0"/>
          <w:marBottom w:val="0"/>
          <w:divBdr>
            <w:top w:val="none" w:sz="0" w:space="0" w:color="auto"/>
            <w:left w:val="none" w:sz="0" w:space="0" w:color="auto"/>
            <w:bottom w:val="none" w:sz="0" w:space="0" w:color="auto"/>
            <w:right w:val="none" w:sz="0" w:space="0" w:color="auto"/>
          </w:divBdr>
          <w:divsChild>
            <w:div w:id="16209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7416">
      <w:bodyDiv w:val="1"/>
      <w:marLeft w:val="0"/>
      <w:marRight w:val="0"/>
      <w:marTop w:val="0"/>
      <w:marBottom w:val="0"/>
      <w:divBdr>
        <w:top w:val="none" w:sz="0" w:space="0" w:color="auto"/>
        <w:left w:val="none" w:sz="0" w:space="0" w:color="auto"/>
        <w:bottom w:val="none" w:sz="0" w:space="0" w:color="auto"/>
        <w:right w:val="none" w:sz="0" w:space="0" w:color="auto"/>
      </w:divBdr>
      <w:divsChild>
        <w:div w:id="1304120820">
          <w:marLeft w:val="0"/>
          <w:marRight w:val="0"/>
          <w:marTop w:val="0"/>
          <w:marBottom w:val="0"/>
          <w:divBdr>
            <w:top w:val="none" w:sz="0" w:space="0" w:color="auto"/>
            <w:left w:val="none" w:sz="0" w:space="0" w:color="auto"/>
            <w:bottom w:val="none" w:sz="0" w:space="0" w:color="auto"/>
            <w:right w:val="none" w:sz="0" w:space="0" w:color="auto"/>
          </w:divBdr>
          <w:divsChild>
            <w:div w:id="8279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5191">
      <w:bodyDiv w:val="1"/>
      <w:marLeft w:val="0"/>
      <w:marRight w:val="0"/>
      <w:marTop w:val="0"/>
      <w:marBottom w:val="0"/>
      <w:divBdr>
        <w:top w:val="none" w:sz="0" w:space="0" w:color="auto"/>
        <w:left w:val="none" w:sz="0" w:space="0" w:color="auto"/>
        <w:bottom w:val="none" w:sz="0" w:space="0" w:color="auto"/>
        <w:right w:val="none" w:sz="0" w:space="0" w:color="auto"/>
      </w:divBdr>
      <w:divsChild>
        <w:div w:id="1019696545">
          <w:marLeft w:val="0"/>
          <w:marRight w:val="0"/>
          <w:marTop w:val="0"/>
          <w:marBottom w:val="0"/>
          <w:divBdr>
            <w:top w:val="none" w:sz="0" w:space="0" w:color="auto"/>
            <w:left w:val="none" w:sz="0" w:space="0" w:color="auto"/>
            <w:bottom w:val="none" w:sz="0" w:space="0" w:color="auto"/>
            <w:right w:val="none" w:sz="0" w:space="0" w:color="auto"/>
          </w:divBdr>
          <w:divsChild>
            <w:div w:id="2314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658">
      <w:bodyDiv w:val="1"/>
      <w:marLeft w:val="0"/>
      <w:marRight w:val="0"/>
      <w:marTop w:val="0"/>
      <w:marBottom w:val="0"/>
      <w:divBdr>
        <w:top w:val="none" w:sz="0" w:space="0" w:color="auto"/>
        <w:left w:val="none" w:sz="0" w:space="0" w:color="auto"/>
        <w:bottom w:val="none" w:sz="0" w:space="0" w:color="auto"/>
        <w:right w:val="none" w:sz="0" w:space="0" w:color="auto"/>
      </w:divBdr>
      <w:divsChild>
        <w:div w:id="632755887">
          <w:marLeft w:val="0"/>
          <w:marRight w:val="0"/>
          <w:marTop w:val="0"/>
          <w:marBottom w:val="0"/>
          <w:divBdr>
            <w:top w:val="none" w:sz="0" w:space="0" w:color="auto"/>
            <w:left w:val="none" w:sz="0" w:space="0" w:color="auto"/>
            <w:bottom w:val="none" w:sz="0" w:space="0" w:color="auto"/>
            <w:right w:val="none" w:sz="0" w:space="0" w:color="auto"/>
          </w:divBdr>
          <w:divsChild>
            <w:div w:id="1235093439">
              <w:marLeft w:val="0"/>
              <w:marRight w:val="0"/>
              <w:marTop w:val="0"/>
              <w:marBottom w:val="0"/>
              <w:divBdr>
                <w:top w:val="none" w:sz="0" w:space="0" w:color="auto"/>
                <w:left w:val="none" w:sz="0" w:space="0" w:color="auto"/>
                <w:bottom w:val="none" w:sz="0" w:space="0" w:color="auto"/>
                <w:right w:val="none" w:sz="0" w:space="0" w:color="auto"/>
              </w:divBdr>
              <w:divsChild>
                <w:div w:id="2123726625">
                  <w:marLeft w:val="0"/>
                  <w:marRight w:val="0"/>
                  <w:marTop w:val="0"/>
                  <w:marBottom w:val="0"/>
                  <w:divBdr>
                    <w:top w:val="none" w:sz="0" w:space="0" w:color="auto"/>
                    <w:left w:val="none" w:sz="0" w:space="0" w:color="auto"/>
                    <w:bottom w:val="none" w:sz="0" w:space="0" w:color="auto"/>
                    <w:right w:val="none" w:sz="0" w:space="0" w:color="auto"/>
                  </w:divBdr>
                  <w:divsChild>
                    <w:div w:id="434180394">
                      <w:marLeft w:val="0"/>
                      <w:marRight w:val="0"/>
                      <w:marTop w:val="0"/>
                      <w:marBottom w:val="0"/>
                      <w:divBdr>
                        <w:top w:val="none" w:sz="0" w:space="0" w:color="auto"/>
                        <w:left w:val="none" w:sz="0" w:space="0" w:color="auto"/>
                        <w:bottom w:val="none" w:sz="0" w:space="0" w:color="auto"/>
                        <w:right w:val="none" w:sz="0" w:space="0" w:color="auto"/>
                      </w:divBdr>
                      <w:divsChild>
                        <w:div w:id="1117873056">
                          <w:marLeft w:val="0"/>
                          <w:marRight w:val="0"/>
                          <w:marTop w:val="0"/>
                          <w:marBottom w:val="0"/>
                          <w:divBdr>
                            <w:top w:val="none" w:sz="0" w:space="0" w:color="auto"/>
                            <w:left w:val="none" w:sz="0" w:space="0" w:color="auto"/>
                            <w:bottom w:val="none" w:sz="0" w:space="0" w:color="auto"/>
                            <w:right w:val="none" w:sz="0" w:space="0" w:color="auto"/>
                          </w:divBdr>
                          <w:divsChild>
                            <w:div w:id="2084792019">
                              <w:marLeft w:val="0"/>
                              <w:marRight w:val="0"/>
                              <w:marTop w:val="0"/>
                              <w:marBottom w:val="0"/>
                              <w:divBdr>
                                <w:top w:val="none" w:sz="0" w:space="0" w:color="auto"/>
                                <w:left w:val="none" w:sz="0" w:space="0" w:color="auto"/>
                                <w:bottom w:val="none" w:sz="0" w:space="0" w:color="auto"/>
                                <w:right w:val="none" w:sz="0" w:space="0" w:color="auto"/>
                              </w:divBdr>
                              <w:divsChild>
                                <w:div w:id="1665744036">
                                  <w:marLeft w:val="0"/>
                                  <w:marRight w:val="0"/>
                                  <w:marTop w:val="0"/>
                                  <w:marBottom w:val="0"/>
                                  <w:divBdr>
                                    <w:top w:val="none" w:sz="0" w:space="0" w:color="auto"/>
                                    <w:left w:val="none" w:sz="0" w:space="0" w:color="auto"/>
                                    <w:bottom w:val="none" w:sz="0" w:space="0" w:color="auto"/>
                                    <w:right w:val="none" w:sz="0" w:space="0" w:color="auto"/>
                                  </w:divBdr>
                                  <w:divsChild>
                                    <w:div w:id="454131490">
                                      <w:marLeft w:val="0"/>
                                      <w:marRight w:val="0"/>
                                      <w:marTop w:val="0"/>
                                      <w:marBottom w:val="0"/>
                                      <w:divBdr>
                                        <w:top w:val="none" w:sz="0" w:space="0" w:color="auto"/>
                                        <w:left w:val="none" w:sz="0" w:space="0" w:color="auto"/>
                                        <w:bottom w:val="none" w:sz="0" w:space="0" w:color="auto"/>
                                        <w:right w:val="none" w:sz="0" w:space="0" w:color="auto"/>
                                      </w:divBdr>
                                      <w:divsChild>
                                        <w:div w:id="753939333">
                                          <w:marLeft w:val="0"/>
                                          <w:marRight w:val="0"/>
                                          <w:marTop w:val="0"/>
                                          <w:marBottom w:val="0"/>
                                          <w:divBdr>
                                            <w:top w:val="none" w:sz="0" w:space="0" w:color="auto"/>
                                            <w:left w:val="none" w:sz="0" w:space="0" w:color="auto"/>
                                            <w:bottom w:val="none" w:sz="0" w:space="0" w:color="auto"/>
                                            <w:right w:val="none" w:sz="0" w:space="0" w:color="auto"/>
                                          </w:divBdr>
                                          <w:divsChild>
                                            <w:div w:id="334769883">
                                              <w:marLeft w:val="0"/>
                                              <w:marRight w:val="0"/>
                                              <w:marTop w:val="0"/>
                                              <w:marBottom w:val="0"/>
                                              <w:divBdr>
                                                <w:top w:val="none" w:sz="0" w:space="0" w:color="auto"/>
                                                <w:left w:val="none" w:sz="0" w:space="0" w:color="auto"/>
                                                <w:bottom w:val="none" w:sz="0" w:space="0" w:color="auto"/>
                                                <w:right w:val="none" w:sz="0" w:space="0" w:color="auto"/>
                                              </w:divBdr>
                                              <w:divsChild>
                                                <w:div w:id="1067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029272">
      <w:bodyDiv w:val="1"/>
      <w:marLeft w:val="0"/>
      <w:marRight w:val="0"/>
      <w:marTop w:val="0"/>
      <w:marBottom w:val="0"/>
      <w:divBdr>
        <w:top w:val="none" w:sz="0" w:space="0" w:color="auto"/>
        <w:left w:val="none" w:sz="0" w:space="0" w:color="auto"/>
        <w:bottom w:val="none" w:sz="0" w:space="0" w:color="auto"/>
        <w:right w:val="none" w:sz="0" w:space="0" w:color="auto"/>
      </w:divBdr>
      <w:divsChild>
        <w:div w:id="1384480318">
          <w:marLeft w:val="0"/>
          <w:marRight w:val="0"/>
          <w:marTop w:val="0"/>
          <w:marBottom w:val="0"/>
          <w:divBdr>
            <w:top w:val="none" w:sz="0" w:space="0" w:color="auto"/>
            <w:left w:val="none" w:sz="0" w:space="0" w:color="auto"/>
            <w:bottom w:val="none" w:sz="0" w:space="0" w:color="auto"/>
            <w:right w:val="none" w:sz="0" w:space="0" w:color="auto"/>
          </w:divBdr>
          <w:divsChild>
            <w:div w:id="7913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1953">
      <w:bodyDiv w:val="1"/>
      <w:marLeft w:val="0"/>
      <w:marRight w:val="0"/>
      <w:marTop w:val="0"/>
      <w:marBottom w:val="0"/>
      <w:divBdr>
        <w:top w:val="none" w:sz="0" w:space="0" w:color="auto"/>
        <w:left w:val="none" w:sz="0" w:space="0" w:color="auto"/>
        <w:bottom w:val="none" w:sz="0" w:space="0" w:color="auto"/>
        <w:right w:val="none" w:sz="0" w:space="0" w:color="auto"/>
      </w:divBdr>
      <w:divsChild>
        <w:div w:id="1718892893">
          <w:marLeft w:val="0"/>
          <w:marRight w:val="0"/>
          <w:marTop w:val="0"/>
          <w:marBottom w:val="0"/>
          <w:divBdr>
            <w:top w:val="none" w:sz="0" w:space="0" w:color="auto"/>
            <w:left w:val="none" w:sz="0" w:space="0" w:color="auto"/>
            <w:bottom w:val="none" w:sz="0" w:space="0" w:color="auto"/>
            <w:right w:val="none" w:sz="0" w:space="0" w:color="auto"/>
          </w:divBdr>
          <w:divsChild>
            <w:div w:id="17779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5791">
      <w:bodyDiv w:val="1"/>
      <w:marLeft w:val="0"/>
      <w:marRight w:val="0"/>
      <w:marTop w:val="0"/>
      <w:marBottom w:val="0"/>
      <w:divBdr>
        <w:top w:val="none" w:sz="0" w:space="0" w:color="auto"/>
        <w:left w:val="none" w:sz="0" w:space="0" w:color="auto"/>
        <w:bottom w:val="none" w:sz="0" w:space="0" w:color="auto"/>
        <w:right w:val="none" w:sz="0" w:space="0" w:color="auto"/>
      </w:divBdr>
      <w:divsChild>
        <w:div w:id="1915427847">
          <w:marLeft w:val="0"/>
          <w:marRight w:val="0"/>
          <w:marTop w:val="0"/>
          <w:marBottom w:val="0"/>
          <w:divBdr>
            <w:top w:val="none" w:sz="0" w:space="0" w:color="auto"/>
            <w:left w:val="none" w:sz="0" w:space="0" w:color="auto"/>
            <w:bottom w:val="none" w:sz="0" w:space="0" w:color="auto"/>
            <w:right w:val="none" w:sz="0" w:space="0" w:color="auto"/>
          </w:divBdr>
          <w:divsChild>
            <w:div w:id="9769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487">
      <w:bodyDiv w:val="1"/>
      <w:marLeft w:val="0"/>
      <w:marRight w:val="0"/>
      <w:marTop w:val="0"/>
      <w:marBottom w:val="0"/>
      <w:divBdr>
        <w:top w:val="none" w:sz="0" w:space="0" w:color="auto"/>
        <w:left w:val="none" w:sz="0" w:space="0" w:color="auto"/>
        <w:bottom w:val="none" w:sz="0" w:space="0" w:color="auto"/>
        <w:right w:val="none" w:sz="0" w:space="0" w:color="auto"/>
      </w:divBdr>
      <w:divsChild>
        <w:div w:id="799104672">
          <w:marLeft w:val="0"/>
          <w:marRight w:val="0"/>
          <w:marTop w:val="0"/>
          <w:marBottom w:val="0"/>
          <w:divBdr>
            <w:top w:val="none" w:sz="0" w:space="0" w:color="auto"/>
            <w:left w:val="none" w:sz="0" w:space="0" w:color="auto"/>
            <w:bottom w:val="none" w:sz="0" w:space="0" w:color="auto"/>
            <w:right w:val="none" w:sz="0" w:space="0" w:color="auto"/>
          </w:divBdr>
          <w:divsChild>
            <w:div w:id="16924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8888">
      <w:bodyDiv w:val="1"/>
      <w:marLeft w:val="0"/>
      <w:marRight w:val="0"/>
      <w:marTop w:val="0"/>
      <w:marBottom w:val="0"/>
      <w:divBdr>
        <w:top w:val="none" w:sz="0" w:space="0" w:color="auto"/>
        <w:left w:val="none" w:sz="0" w:space="0" w:color="auto"/>
        <w:bottom w:val="none" w:sz="0" w:space="0" w:color="auto"/>
        <w:right w:val="none" w:sz="0" w:space="0" w:color="auto"/>
      </w:divBdr>
      <w:divsChild>
        <w:div w:id="298459003">
          <w:marLeft w:val="0"/>
          <w:marRight w:val="0"/>
          <w:marTop w:val="0"/>
          <w:marBottom w:val="0"/>
          <w:divBdr>
            <w:top w:val="none" w:sz="0" w:space="0" w:color="auto"/>
            <w:left w:val="none" w:sz="0" w:space="0" w:color="auto"/>
            <w:bottom w:val="none" w:sz="0" w:space="0" w:color="auto"/>
            <w:right w:val="none" w:sz="0" w:space="0" w:color="auto"/>
          </w:divBdr>
          <w:divsChild>
            <w:div w:id="21397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26832">
      <w:bodyDiv w:val="1"/>
      <w:marLeft w:val="0"/>
      <w:marRight w:val="0"/>
      <w:marTop w:val="0"/>
      <w:marBottom w:val="0"/>
      <w:divBdr>
        <w:top w:val="none" w:sz="0" w:space="0" w:color="auto"/>
        <w:left w:val="none" w:sz="0" w:space="0" w:color="auto"/>
        <w:bottom w:val="none" w:sz="0" w:space="0" w:color="auto"/>
        <w:right w:val="none" w:sz="0" w:space="0" w:color="auto"/>
      </w:divBdr>
      <w:divsChild>
        <w:div w:id="1738017451">
          <w:marLeft w:val="0"/>
          <w:marRight w:val="0"/>
          <w:marTop w:val="0"/>
          <w:marBottom w:val="0"/>
          <w:divBdr>
            <w:top w:val="none" w:sz="0" w:space="0" w:color="auto"/>
            <w:left w:val="none" w:sz="0" w:space="0" w:color="auto"/>
            <w:bottom w:val="none" w:sz="0" w:space="0" w:color="auto"/>
            <w:right w:val="none" w:sz="0" w:space="0" w:color="auto"/>
          </w:divBdr>
          <w:divsChild>
            <w:div w:id="5927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1311">
      <w:bodyDiv w:val="1"/>
      <w:marLeft w:val="0"/>
      <w:marRight w:val="0"/>
      <w:marTop w:val="0"/>
      <w:marBottom w:val="0"/>
      <w:divBdr>
        <w:top w:val="none" w:sz="0" w:space="0" w:color="auto"/>
        <w:left w:val="none" w:sz="0" w:space="0" w:color="auto"/>
        <w:bottom w:val="none" w:sz="0" w:space="0" w:color="auto"/>
        <w:right w:val="none" w:sz="0" w:space="0" w:color="auto"/>
      </w:divBdr>
      <w:divsChild>
        <w:div w:id="1583904604">
          <w:marLeft w:val="0"/>
          <w:marRight w:val="0"/>
          <w:marTop w:val="0"/>
          <w:marBottom w:val="0"/>
          <w:divBdr>
            <w:top w:val="none" w:sz="0" w:space="0" w:color="auto"/>
            <w:left w:val="none" w:sz="0" w:space="0" w:color="auto"/>
            <w:bottom w:val="none" w:sz="0" w:space="0" w:color="auto"/>
            <w:right w:val="none" w:sz="0" w:space="0" w:color="auto"/>
          </w:divBdr>
          <w:divsChild>
            <w:div w:id="17196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5151">
      <w:bodyDiv w:val="1"/>
      <w:marLeft w:val="0"/>
      <w:marRight w:val="0"/>
      <w:marTop w:val="0"/>
      <w:marBottom w:val="0"/>
      <w:divBdr>
        <w:top w:val="none" w:sz="0" w:space="0" w:color="auto"/>
        <w:left w:val="none" w:sz="0" w:space="0" w:color="auto"/>
        <w:bottom w:val="none" w:sz="0" w:space="0" w:color="auto"/>
        <w:right w:val="none" w:sz="0" w:space="0" w:color="auto"/>
      </w:divBdr>
      <w:divsChild>
        <w:div w:id="268976608">
          <w:marLeft w:val="0"/>
          <w:marRight w:val="0"/>
          <w:marTop w:val="0"/>
          <w:marBottom w:val="0"/>
          <w:divBdr>
            <w:top w:val="none" w:sz="0" w:space="0" w:color="auto"/>
            <w:left w:val="none" w:sz="0" w:space="0" w:color="auto"/>
            <w:bottom w:val="none" w:sz="0" w:space="0" w:color="auto"/>
            <w:right w:val="none" w:sz="0" w:space="0" w:color="auto"/>
          </w:divBdr>
          <w:divsChild>
            <w:div w:id="14304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3313">
      <w:bodyDiv w:val="1"/>
      <w:marLeft w:val="0"/>
      <w:marRight w:val="0"/>
      <w:marTop w:val="0"/>
      <w:marBottom w:val="0"/>
      <w:divBdr>
        <w:top w:val="none" w:sz="0" w:space="0" w:color="auto"/>
        <w:left w:val="none" w:sz="0" w:space="0" w:color="auto"/>
        <w:bottom w:val="none" w:sz="0" w:space="0" w:color="auto"/>
        <w:right w:val="none" w:sz="0" w:space="0" w:color="auto"/>
      </w:divBdr>
      <w:divsChild>
        <w:div w:id="1038816482">
          <w:marLeft w:val="0"/>
          <w:marRight w:val="0"/>
          <w:marTop w:val="0"/>
          <w:marBottom w:val="0"/>
          <w:divBdr>
            <w:top w:val="none" w:sz="0" w:space="0" w:color="auto"/>
            <w:left w:val="none" w:sz="0" w:space="0" w:color="auto"/>
            <w:bottom w:val="none" w:sz="0" w:space="0" w:color="auto"/>
            <w:right w:val="none" w:sz="0" w:space="0" w:color="auto"/>
          </w:divBdr>
          <w:divsChild>
            <w:div w:id="1975864544">
              <w:marLeft w:val="0"/>
              <w:marRight w:val="0"/>
              <w:marTop w:val="0"/>
              <w:marBottom w:val="0"/>
              <w:divBdr>
                <w:top w:val="none" w:sz="0" w:space="0" w:color="auto"/>
                <w:left w:val="none" w:sz="0" w:space="0" w:color="auto"/>
                <w:bottom w:val="none" w:sz="0" w:space="0" w:color="auto"/>
                <w:right w:val="none" w:sz="0" w:space="0" w:color="auto"/>
              </w:divBdr>
              <w:divsChild>
                <w:div w:id="1053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7853">
      <w:bodyDiv w:val="1"/>
      <w:marLeft w:val="0"/>
      <w:marRight w:val="0"/>
      <w:marTop w:val="0"/>
      <w:marBottom w:val="0"/>
      <w:divBdr>
        <w:top w:val="none" w:sz="0" w:space="0" w:color="auto"/>
        <w:left w:val="none" w:sz="0" w:space="0" w:color="auto"/>
        <w:bottom w:val="none" w:sz="0" w:space="0" w:color="auto"/>
        <w:right w:val="none" w:sz="0" w:space="0" w:color="auto"/>
      </w:divBdr>
      <w:divsChild>
        <w:div w:id="1167207956">
          <w:marLeft w:val="0"/>
          <w:marRight w:val="0"/>
          <w:marTop w:val="0"/>
          <w:marBottom w:val="0"/>
          <w:divBdr>
            <w:top w:val="none" w:sz="0" w:space="0" w:color="auto"/>
            <w:left w:val="none" w:sz="0" w:space="0" w:color="auto"/>
            <w:bottom w:val="none" w:sz="0" w:space="0" w:color="auto"/>
            <w:right w:val="none" w:sz="0" w:space="0" w:color="auto"/>
          </w:divBdr>
          <w:divsChild>
            <w:div w:id="12247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4442">
      <w:bodyDiv w:val="1"/>
      <w:marLeft w:val="0"/>
      <w:marRight w:val="0"/>
      <w:marTop w:val="0"/>
      <w:marBottom w:val="0"/>
      <w:divBdr>
        <w:top w:val="none" w:sz="0" w:space="0" w:color="auto"/>
        <w:left w:val="none" w:sz="0" w:space="0" w:color="auto"/>
        <w:bottom w:val="none" w:sz="0" w:space="0" w:color="auto"/>
        <w:right w:val="none" w:sz="0" w:space="0" w:color="auto"/>
      </w:divBdr>
      <w:divsChild>
        <w:div w:id="280502429">
          <w:marLeft w:val="0"/>
          <w:marRight w:val="0"/>
          <w:marTop w:val="0"/>
          <w:marBottom w:val="0"/>
          <w:divBdr>
            <w:top w:val="none" w:sz="0" w:space="0" w:color="auto"/>
            <w:left w:val="none" w:sz="0" w:space="0" w:color="auto"/>
            <w:bottom w:val="none" w:sz="0" w:space="0" w:color="auto"/>
            <w:right w:val="none" w:sz="0" w:space="0" w:color="auto"/>
          </w:divBdr>
          <w:divsChild>
            <w:div w:id="2037386975">
              <w:marLeft w:val="0"/>
              <w:marRight w:val="0"/>
              <w:marTop w:val="0"/>
              <w:marBottom w:val="0"/>
              <w:divBdr>
                <w:top w:val="none" w:sz="0" w:space="0" w:color="auto"/>
                <w:left w:val="none" w:sz="0" w:space="0" w:color="auto"/>
                <w:bottom w:val="none" w:sz="0" w:space="0" w:color="auto"/>
                <w:right w:val="none" w:sz="0" w:space="0" w:color="auto"/>
              </w:divBdr>
              <w:divsChild>
                <w:div w:id="715348111">
                  <w:marLeft w:val="0"/>
                  <w:marRight w:val="0"/>
                  <w:marTop w:val="0"/>
                  <w:marBottom w:val="0"/>
                  <w:divBdr>
                    <w:top w:val="none" w:sz="0" w:space="0" w:color="auto"/>
                    <w:left w:val="none" w:sz="0" w:space="0" w:color="auto"/>
                    <w:bottom w:val="none" w:sz="0" w:space="0" w:color="auto"/>
                    <w:right w:val="none" w:sz="0" w:space="0" w:color="auto"/>
                  </w:divBdr>
                  <w:divsChild>
                    <w:div w:id="84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45294">
      <w:bodyDiv w:val="1"/>
      <w:marLeft w:val="0"/>
      <w:marRight w:val="0"/>
      <w:marTop w:val="0"/>
      <w:marBottom w:val="0"/>
      <w:divBdr>
        <w:top w:val="none" w:sz="0" w:space="0" w:color="auto"/>
        <w:left w:val="none" w:sz="0" w:space="0" w:color="auto"/>
        <w:bottom w:val="none" w:sz="0" w:space="0" w:color="auto"/>
        <w:right w:val="none" w:sz="0" w:space="0" w:color="auto"/>
      </w:divBdr>
      <w:divsChild>
        <w:div w:id="377123323">
          <w:marLeft w:val="0"/>
          <w:marRight w:val="0"/>
          <w:marTop w:val="0"/>
          <w:marBottom w:val="0"/>
          <w:divBdr>
            <w:top w:val="none" w:sz="0" w:space="0" w:color="auto"/>
            <w:left w:val="none" w:sz="0" w:space="0" w:color="auto"/>
            <w:bottom w:val="none" w:sz="0" w:space="0" w:color="auto"/>
            <w:right w:val="none" w:sz="0" w:space="0" w:color="auto"/>
          </w:divBdr>
          <w:divsChild>
            <w:div w:id="14748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3029">
      <w:bodyDiv w:val="1"/>
      <w:marLeft w:val="0"/>
      <w:marRight w:val="0"/>
      <w:marTop w:val="0"/>
      <w:marBottom w:val="0"/>
      <w:divBdr>
        <w:top w:val="none" w:sz="0" w:space="0" w:color="auto"/>
        <w:left w:val="none" w:sz="0" w:space="0" w:color="auto"/>
        <w:bottom w:val="none" w:sz="0" w:space="0" w:color="auto"/>
        <w:right w:val="none" w:sz="0" w:space="0" w:color="auto"/>
      </w:divBdr>
      <w:divsChild>
        <w:div w:id="1845242855">
          <w:marLeft w:val="0"/>
          <w:marRight w:val="0"/>
          <w:marTop w:val="0"/>
          <w:marBottom w:val="0"/>
          <w:divBdr>
            <w:top w:val="none" w:sz="0" w:space="0" w:color="auto"/>
            <w:left w:val="none" w:sz="0" w:space="0" w:color="auto"/>
            <w:bottom w:val="none" w:sz="0" w:space="0" w:color="auto"/>
            <w:right w:val="none" w:sz="0" w:space="0" w:color="auto"/>
          </w:divBdr>
          <w:divsChild>
            <w:div w:id="17126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6747">
      <w:bodyDiv w:val="1"/>
      <w:marLeft w:val="0"/>
      <w:marRight w:val="0"/>
      <w:marTop w:val="0"/>
      <w:marBottom w:val="0"/>
      <w:divBdr>
        <w:top w:val="none" w:sz="0" w:space="0" w:color="auto"/>
        <w:left w:val="none" w:sz="0" w:space="0" w:color="auto"/>
        <w:bottom w:val="none" w:sz="0" w:space="0" w:color="auto"/>
        <w:right w:val="none" w:sz="0" w:space="0" w:color="auto"/>
      </w:divBdr>
      <w:divsChild>
        <w:div w:id="2037265794">
          <w:marLeft w:val="0"/>
          <w:marRight w:val="0"/>
          <w:marTop w:val="0"/>
          <w:marBottom w:val="0"/>
          <w:divBdr>
            <w:top w:val="none" w:sz="0" w:space="0" w:color="auto"/>
            <w:left w:val="none" w:sz="0" w:space="0" w:color="auto"/>
            <w:bottom w:val="none" w:sz="0" w:space="0" w:color="auto"/>
            <w:right w:val="none" w:sz="0" w:space="0" w:color="auto"/>
          </w:divBdr>
          <w:divsChild>
            <w:div w:id="1535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180">
      <w:bodyDiv w:val="1"/>
      <w:marLeft w:val="0"/>
      <w:marRight w:val="0"/>
      <w:marTop w:val="0"/>
      <w:marBottom w:val="0"/>
      <w:divBdr>
        <w:top w:val="none" w:sz="0" w:space="0" w:color="auto"/>
        <w:left w:val="none" w:sz="0" w:space="0" w:color="auto"/>
        <w:bottom w:val="none" w:sz="0" w:space="0" w:color="auto"/>
        <w:right w:val="none" w:sz="0" w:space="0" w:color="auto"/>
      </w:divBdr>
      <w:divsChild>
        <w:div w:id="267279248">
          <w:marLeft w:val="0"/>
          <w:marRight w:val="0"/>
          <w:marTop w:val="0"/>
          <w:marBottom w:val="0"/>
          <w:divBdr>
            <w:top w:val="none" w:sz="0" w:space="0" w:color="auto"/>
            <w:left w:val="none" w:sz="0" w:space="0" w:color="auto"/>
            <w:bottom w:val="none" w:sz="0" w:space="0" w:color="auto"/>
            <w:right w:val="none" w:sz="0" w:space="0" w:color="auto"/>
          </w:divBdr>
          <w:divsChild>
            <w:div w:id="9707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4555">
      <w:bodyDiv w:val="1"/>
      <w:marLeft w:val="0"/>
      <w:marRight w:val="0"/>
      <w:marTop w:val="0"/>
      <w:marBottom w:val="0"/>
      <w:divBdr>
        <w:top w:val="none" w:sz="0" w:space="0" w:color="auto"/>
        <w:left w:val="none" w:sz="0" w:space="0" w:color="auto"/>
        <w:bottom w:val="none" w:sz="0" w:space="0" w:color="auto"/>
        <w:right w:val="none" w:sz="0" w:space="0" w:color="auto"/>
      </w:divBdr>
      <w:divsChild>
        <w:div w:id="1250119891">
          <w:marLeft w:val="0"/>
          <w:marRight w:val="0"/>
          <w:marTop w:val="0"/>
          <w:marBottom w:val="0"/>
          <w:divBdr>
            <w:top w:val="none" w:sz="0" w:space="0" w:color="auto"/>
            <w:left w:val="none" w:sz="0" w:space="0" w:color="auto"/>
            <w:bottom w:val="none" w:sz="0" w:space="0" w:color="auto"/>
            <w:right w:val="none" w:sz="0" w:space="0" w:color="auto"/>
          </w:divBdr>
          <w:divsChild>
            <w:div w:id="950012730">
              <w:marLeft w:val="0"/>
              <w:marRight w:val="0"/>
              <w:marTop w:val="0"/>
              <w:marBottom w:val="0"/>
              <w:divBdr>
                <w:top w:val="none" w:sz="0" w:space="0" w:color="auto"/>
                <w:left w:val="none" w:sz="0" w:space="0" w:color="auto"/>
                <w:bottom w:val="none" w:sz="0" w:space="0" w:color="auto"/>
                <w:right w:val="none" w:sz="0" w:space="0" w:color="auto"/>
              </w:divBdr>
              <w:divsChild>
                <w:div w:id="14293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9641">
      <w:bodyDiv w:val="1"/>
      <w:marLeft w:val="0"/>
      <w:marRight w:val="0"/>
      <w:marTop w:val="0"/>
      <w:marBottom w:val="0"/>
      <w:divBdr>
        <w:top w:val="none" w:sz="0" w:space="0" w:color="auto"/>
        <w:left w:val="none" w:sz="0" w:space="0" w:color="auto"/>
        <w:bottom w:val="none" w:sz="0" w:space="0" w:color="auto"/>
        <w:right w:val="none" w:sz="0" w:space="0" w:color="auto"/>
      </w:divBdr>
      <w:divsChild>
        <w:div w:id="1871263203">
          <w:marLeft w:val="0"/>
          <w:marRight w:val="0"/>
          <w:marTop w:val="0"/>
          <w:marBottom w:val="0"/>
          <w:divBdr>
            <w:top w:val="none" w:sz="0" w:space="0" w:color="auto"/>
            <w:left w:val="none" w:sz="0" w:space="0" w:color="auto"/>
            <w:bottom w:val="none" w:sz="0" w:space="0" w:color="auto"/>
            <w:right w:val="none" w:sz="0" w:space="0" w:color="auto"/>
          </w:divBdr>
          <w:divsChild>
            <w:div w:id="8899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48641">
      <w:bodyDiv w:val="1"/>
      <w:marLeft w:val="0"/>
      <w:marRight w:val="0"/>
      <w:marTop w:val="0"/>
      <w:marBottom w:val="0"/>
      <w:divBdr>
        <w:top w:val="none" w:sz="0" w:space="0" w:color="auto"/>
        <w:left w:val="none" w:sz="0" w:space="0" w:color="auto"/>
        <w:bottom w:val="none" w:sz="0" w:space="0" w:color="auto"/>
        <w:right w:val="none" w:sz="0" w:space="0" w:color="auto"/>
      </w:divBdr>
      <w:divsChild>
        <w:div w:id="331102991">
          <w:marLeft w:val="0"/>
          <w:marRight w:val="0"/>
          <w:marTop w:val="0"/>
          <w:marBottom w:val="0"/>
          <w:divBdr>
            <w:top w:val="none" w:sz="0" w:space="0" w:color="auto"/>
            <w:left w:val="none" w:sz="0" w:space="0" w:color="auto"/>
            <w:bottom w:val="none" w:sz="0" w:space="0" w:color="auto"/>
            <w:right w:val="none" w:sz="0" w:space="0" w:color="auto"/>
          </w:divBdr>
          <w:divsChild>
            <w:div w:id="18855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5747">
      <w:bodyDiv w:val="1"/>
      <w:marLeft w:val="0"/>
      <w:marRight w:val="0"/>
      <w:marTop w:val="0"/>
      <w:marBottom w:val="0"/>
      <w:divBdr>
        <w:top w:val="none" w:sz="0" w:space="0" w:color="auto"/>
        <w:left w:val="none" w:sz="0" w:space="0" w:color="auto"/>
        <w:bottom w:val="none" w:sz="0" w:space="0" w:color="auto"/>
        <w:right w:val="none" w:sz="0" w:space="0" w:color="auto"/>
      </w:divBdr>
      <w:divsChild>
        <w:div w:id="1678311569">
          <w:marLeft w:val="0"/>
          <w:marRight w:val="0"/>
          <w:marTop w:val="0"/>
          <w:marBottom w:val="0"/>
          <w:divBdr>
            <w:top w:val="none" w:sz="0" w:space="0" w:color="auto"/>
            <w:left w:val="none" w:sz="0" w:space="0" w:color="auto"/>
            <w:bottom w:val="none" w:sz="0" w:space="0" w:color="auto"/>
            <w:right w:val="none" w:sz="0" w:space="0" w:color="auto"/>
          </w:divBdr>
          <w:divsChild>
            <w:div w:id="12061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6895">
      <w:bodyDiv w:val="1"/>
      <w:marLeft w:val="0"/>
      <w:marRight w:val="0"/>
      <w:marTop w:val="0"/>
      <w:marBottom w:val="0"/>
      <w:divBdr>
        <w:top w:val="none" w:sz="0" w:space="0" w:color="auto"/>
        <w:left w:val="none" w:sz="0" w:space="0" w:color="auto"/>
        <w:bottom w:val="none" w:sz="0" w:space="0" w:color="auto"/>
        <w:right w:val="none" w:sz="0" w:space="0" w:color="auto"/>
      </w:divBdr>
      <w:divsChild>
        <w:div w:id="435637275">
          <w:marLeft w:val="0"/>
          <w:marRight w:val="0"/>
          <w:marTop w:val="0"/>
          <w:marBottom w:val="0"/>
          <w:divBdr>
            <w:top w:val="none" w:sz="0" w:space="0" w:color="auto"/>
            <w:left w:val="none" w:sz="0" w:space="0" w:color="auto"/>
            <w:bottom w:val="none" w:sz="0" w:space="0" w:color="auto"/>
            <w:right w:val="none" w:sz="0" w:space="0" w:color="auto"/>
          </w:divBdr>
          <w:divsChild>
            <w:div w:id="1349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030">
      <w:bodyDiv w:val="1"/>
      <w:marLeft w:val="0"/>
      <w:marRight w:val="0"/>
      <w:marTop w:val="0"/>
      <w:marBottom w:val="0"/>
      <w:divBdr>
        <w:top w:val="none" w:sz="0" w:space="0" w:color="auto"/>
        <w:left w:val="none" w:sz="0" w:space="0" w:color="auto"/>
        <w:bottom w:val="none" w:sz="0" w:space="0" w:color="auto"/>
        <w:right w:val="none" w:sz="0" w:space="0" w:color="auto"/>
      </w:divBdr>
      <w:divsChild>
        <w:div w:id="826943233">
          <w:marLeft w:val="0"/>
          <w:marRight w:val="0"/>
          <w:marTop w:val="0"/>
          <w:marBottom w:val="0"/>
          <w:divBdr>
            <w:top w:val="none" w:sz="0" w:space="0" w:color="auto"/>
            <w:left w:val="none" w:sz="0" w:space="0" w:color="auto"/>
            <w:bottom w:val="none" w:sz="0" w:space="0" w:color="auto"/>
            <w:right w:val="none" w:sz="0" w:space="0" w:color="auto"/>
          </w:divBdr>
          <w:divsChild>
            <w:div w:id="17439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365">
          <w:marLeft w:val="0"/>
          <w:marRight w:val="0"/>
          <w:marTop w:val="0"/>
          <w:marBottom w:val="0"/>
          <w:divBdr>
            <w:top w:val="none" w:sz="0" w:space="0" w:color="auto"/>
            <w:left w:val="none" w:sz="0" w:space="0" w:color="auto"/>
            <w:bottom w:val="none" w:sz="0" w:space="0" w:color="auto"/>
            <w:right w:val="none" w:sz="0" w:space="0" w:color="auto"/>
          </w:divBdr>
          <w:divsChild>
            <w:div w:id="15661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152">
      <w:bodyDiv w:val="1"/>
      <w:marLeft w:val="0"/>
      <w:marRight w:val="0"/>
      <w:marTop w:val="0"/>
      <w:marBottom w:val="0"/>
      <w:divBdr>
        <w:top w:val="none" w:sz="0" w:space="0" w:color="auto"/>
        <w:left w:val="none" w:sz="0" w:space="0" w:color="auto"/>
        <w:bottom w:val="none" w:sz="0" w:space="0" w:color="auto"/>
        <w:right w:val="none" w:sz="0" w:space="0" w:color="auto"/>
      </w:divBdr>
      <w:divsChild>
        <w:div w:id="791168474">
          <w:marLeft w:val="0"/>
          <w:marRight w:val="0"/>
          <w:marTop w:val="0"/>
          <w:marBottom w:val="0"/>
          <w:divBdr>
            <w:top w:val="none" w:sz="0" w:space="0" w:color="auto"/>
            <w:left w:val="none" w:sz="0" w:space="0" w:color="auto"/>
            <w:bottom w:val="none" w:sz="0" w:space="0" w:color="auto"/>
            <w:right w:val="none" w:sz="0" w:space="0" w:color="auto"/>
          </w:divBdr>
          <w:divsChild>
            <w:div w:id="1064333224">
              <w:marLeft w:val="0"/>
              <w:marRight w:val="0"/>
              <w:marTop w:val="0"/>
              <w:marBottom w:val="0"/>
              <w:divBdr>
                <w:top w:val="none" w:sz="0" w:space="0" w:color="auto"/>
                <w:left w:val="none" w:sz="0" w:space="0" w:color="auto"/>
                <w:bottom w:val="none" w:sz="0" w:space="0" w:color="auto"/>
                <w:right w:val="none" w:sz="0" w:space="0" w:color="auto"/>
              </w:divBdr>
              <w:divsChild>
                <w:div w:id="17005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8767">
      <w:bodyDiv w:val="1"/>
      <w:marLeft w:val="0"/>
      <w:marRight w:val="0"/>
      <w:marTop w:val="0"/>
      <w:marBottom w:val="0"/>
      <w:divBdr>
        <w:top w:val="none" w:sz="0" w:space="0" w:color="auto"/>
        <w:left w:val="none" w:sz="0" w:space="0" w:color="auto"/>
        <w:bottom w:val="none" w:sz="0" w:space="0" w:color="auto"/>
        <w:right w:val="none" w:sz="0" w:space="0" w:color="auto"/>
      </w:divBdr>
      <w:divsChild>
        <w:div w:id="1050418517">
          <w:marLeft w:val="0"/>
          <w:marRight w:val="0"/>
          <w:marTop w:val="0"/>
          <w:marBottom w:val="0"/>
          <w:divBdr>
            <w:top w:val="none" w:sz="0" w:space="0" w:color="auto"/>
            <w:left w:val="none" w:sz="0" w:space="0" w:color="auto"/>
            <w:bottom w:val="none" w:sz="0" w:space="0" w:color="auto"/>
            <w:right w:val="none" w:sz="0" w:space="0" w:color="auto"/>
          </w:divBdr>
          <w:divsChild>
            <w:div w:id="645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4773">
      <w:bodyDiv w:val="1"/>
      <w:marLeft w:val="0"/>
      <w:marRight w:val="0"/>
      <w:marTop w:val="0"/>
      <w:marBottom w:val="0"/>
      <w:divBdr>
        <w:top w:val="none" w:sz="0" w:space="0" w:color="auto"/>
        <w:left w:val="none" w:sz="0" w:space="0" w:color="auto"/>
        <w:bottom w:val="none" w:sz="0" w:space="0" w:color="auto"/>
        <w:right w:val="none" w:sz="0" w:space="0" w:color="auto"/>
      </w:divBdr>
      <w:divsChild>
        <w:div w:id="485518142">
          <w:marLeft w:val="0"/>
          <w:marRight w:val="0"/>
          <w:marTop w:val="0"/>
          <w:marBottom w:val="0"/>
          <w:divBdr>
            <w:top w:val="none" w:sz="0" w:space="0" w:color="auto"/>
            <w:left w:val="none" w:sz="0" w:space="0" w:color="auto"/>
            <w:bottom w:val="none" w:sz="0" w:space="0" w:color="auto"/>
            <w:right w:val="none" w:sz="0" w:space="0" w:color="auto"/>
          </w:divBdr>
          <w:divsChild>
            <w:div w:id="16100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5745">
      <w:bodyDiv w:val="1"/>
      <w:marLeft w:val="0"/>
      <w:marRight w:val="0"/>
      <w:marTop w:val="0"/>
      <w:marBottom w:val="0"/>
      <w:divBdr>
        <w:top w:val="none" w:sz="0" w:space="0" w:color="auto"/>
        <w:left w:val="none" w:sz="0" w:space="0" w:color="auto"/>
        <w:bottom w:val="none" w:sz="0" w:space="0" w:color="auto"/>
        <w:right w:val="none" w:sz="0" w:space="0" w:color="auto"/>
      </w:divBdr>
      <w:divsChild>
        <w:div w:id="1587374393">
          <w:marLeft w:val="0"/>
          <w:marRight w:val="0"/>
          <w:marTop w:val="0"/>
          <w:marBottom w:val="0"/>
          <w:divBdr>
            <w:top w:val="none" w:sz="0" w:space="0" w:color="auto"/>
            <w:left w:val="none" w:sz="0" w:space="0" w:color="auto"/>
            <w:bottom w:val="none" w:sz="0" w:space="0" w:color="auto"/>
            <w:right w:val="none" w:sz="0" w:space="0" w:color="auto"/>
          </w:divBdr>
          <w:divsChild>
            <w:div w:id="485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93570">
      <w:bodyDiv w:val="1"/>
      <w:marLeft w:val="0"/>
      <w:marRight w:val="0"/>
      <w:marTop w:val="0"/>
      <w:marBottom w:val="0"/>
      <w:divBdr>
        <w:top w:val="none" w:sz="0" w:space="0" w:color="auto"/>
        <w:left w:val="none" w:sz="0" w:space="0" w:color="auto"/>
        <w:bottom w:val="none" w:sz="0" w:space="0" w:color="auto"/>
        <w:right w:val="none" w:sz="0" w:space="0" w:color="auto"/>
      </w:divBdr>
      <w:divsChild>
        <w:div w:id="2018996838">
          <w:marLeft w:val="0"/>
          <w:marRight w:val="0"/>
          <w:marTop w:val="0"/>
          <w:marBottom w:val="0"/>
          <w:divBdr>
            <w:top w:val="none" w:sz="0" w:space="0" w:color="auto"/>
            <w:left w:val="none" w:sz="0" w:space="0" w:color="auto"/>
            <w:bottom w:val="none" w:sz="0" w:space="0" w:color="auto"/>
            <w:right w:val="none" w:sz="0" w:space="0" w:color="auto"/>
          </w:divBdr>
          <w:divsChild>
            <w:div w:id="9746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9450">
      <w:bodyDiv w:val="1"/>
      <w:marLeft w:val="0"/>
      <w:marRight w:val="0"/>
      <w:marTop w:val="0"/>
      <w:marBottom w:val="0"/>
      <w:divBdr>
        <w:top w:val="none" w:sz="0" w:space="0" w:color="auto"/>
        <w:left w:val="none" w:sz="0" w:space="0" w:color="auto"/>
        <w:bottom w:val="none" w:sz="0" w:space="0" w:color="auto"/>
        <w:right w:val="none" w:sz="0" w:space="0" w:color="auto"/>
      </w:divBdr>
      <w:divsChild>
        <w:div w:id="1223325917">
          <w:marLeft w:val="0"/>
          <w:marRight w:val="0"/>
          <w:marTop w:val="0"/>
          <w:marBottom w:val="0"/>
          <w:divBdr>
            <w:top w:val="none" w:sz="0" w:space="0" w:color="auto"/>
            <w:left w:val="none" w:sz="0" w:space="0" w:color="auto"/>
            <w:bottom w:val="none" w:sz="0" w:space="0" w:color="auto"/>
            <w:right w:val="none" w:sz="0" w:space="0" w:color="auto"/>
          </w:divBdr>
          <w:divsChild>
            <w:div w:id="1872693657">
              <w:marLeft w:val="0"/>
              <w:marRight w:val="0"/>
              <w:marTop w:val="0"/>
              <w:marBottom w:val="0"/>
              <w:divBdr>
                <w:top w:val="none" w:sz="0" w:space="0" w:color="auto"/>
                <w:left w:val="none" w:sz="0" w:space="0" w:color="auto"/>
                <w:bottom w:val="none" w:sz="0" w:space="0" w:color="auto"/>
                <w:right w:val="none" w:sz="0" w:space="0" w:color="auto"/>
              </w:divBdr>
              <w:divsChild>
                <w:div w:id="1816533398">
                  <w:marLeft w:val="0"/>
                  <w:marRight w:val="0"/>
                  <w:marTop w:val="0"/>
                  <w:marBottom w:val="0"/>
                  <w:divBdr>
                    <w:top w:val="none" w:sz="0" w:space="0" w:color="auto"/>
                    <w:left w:val="none" w:sz="0" w:space="0" w:color="auto"/>
                    <w:bottom w:val="none" w:sz="0" w:space="0" w:color="auto"/>
                    <w:right w:val="none" w:sz="0" w:space="0" w:color="auto"/>
                  </w:divBdr>
                </w:div>
                <w:div w:id="6084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3779">
      <w:bodyDiv w:val="1"/>
      <w:marLeft w:val="0"/>
      <w:marRight w:val="0"/>
      <w:marTop w:val="0"/>
      <w:marBottom w:val="0"/>
      <w:divBdr>
        <w:top w:val="none" w:sz="0" w:space="0" w:color="auto"/>
        <w:left w:val="none" w:sz="0" w:space="0" w:color="auto"/>
        <w:bottom w:val="none" w:sz="0" w:space="0" w:color="auto"/>
        <w:right w:val="none" w:sz="0" w:space="0" w:color="auto"/>
      </w:divBdr>
      <w:divsChild>
        <w:div w:id="1464032001">
          <w:marLeft w:val="0"/>
          <w:marRight w:val="0"/>
          <w:marTop w:val="0"/>
          <w:marBottom w:val="0"/>
          <w:divBdr>
            <w:top w:val="none" w:sz="0" w:space="0" w:color="auto"/>
            <w:left w:val="none" w:sz="0" w:space="0" w:color="auto"/>
            <w:bottom w:val="none" w:sz="0" w:space="0" w:color="auto"/>
            <w:right w:val="none" w:sz="0" w:space="0" w:color="auto"/>
          </w:divBdr>
          <w:divsChild>
            <w:div w:id="14679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3046">
      <w:bodyDiv w:val="1"/>
      <w:marLeft w:val="0"/>
      <w:marRight w:val="0"/>
      <w:marTop w:val="0"/>
      <w:marBottom w:val="0"/>
      <w:divBdr>
        <w:top w:val="none" w:sz="0" w:space="0" w:color="auto"/>
        <w:left w:val="none" w:sz="0" w:space="0" w:color="auto"/>
        <w:bottom w:val="none" w:sz="0" w:space="0" w:color="auto"/>
        <w:right w:val="none" w:sz="0" w:space="0" w:color="auto"/>
      </w:divBdr>
      <w:divsChild>
        <w:div w:id="38477565">
          <w:marLeft w:val="0"/>
          <w:marRight w:val="0"/>
          <w:marTop w:val="0"/>
          <w:marBottom w:val="0"/>
          <w:divBdr>
            <w:top w:val="none" w:sz="0" w:space="0" w:color="auto"/>
            <w:left w:val="none" w:sz="0" w:space="0" w:color="auto"/>
            <w:bottom w:val="none" w:sz="0" w:space="0" w:color="auto"/>
            <w:right w:val="none" w:sz="0" w:space="0" w:color="auto"/>
          </w:divBdr>
          <w:divsChild>
            <w:div w:id="10611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5597">
      <w:bodyDiv w:val="1"/>
      <w:marLeft w:val="0"/>
      <w:marRight w:val="0"/>
      <w:marTop w:val="0"/>
      <w:marBottom w:val="0"/>
      <w:divBdr>
        <w:top w:val="none" w:sz="0" w:space="0" w:color="auto"/>
        <w:left w:val="none" w:sz="0" w:space="0" w:color="auto"/>
        <w:bottom w:val="none" w:sz="0" w:space="0" w:color="auto"/>
        <w:right w:val="none" w:sz="0" w:space="0" w:color="auto"/>
      </w:divBdr>
      <w:divsChild>
        <w:div w:id="1103040756">
          <w:marLeft w:val="0"/>
          <w:marRight w:val="0"/>
          <w:marTop w:val="0"/>
          <w:marBottom w:val="0"/>
          <w:divBdr>
            <w:top w:val="none" w:sz="0" w:space="0" w:color="auto"/>
            <w:left w:val="none" w:sz="0" w:space="0" w:color="auto"/>
            <w:bottom w:val="none" w:sz="0" w:space="0" w:color="auto"/>
            <w:right w:val="none" w:sz="0" w:space="0" w:color="auto"/>
          </w:divBdr>
          <w:divsChild>
            <w:div w:id="15043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485">
      <w:bodyDiv w:val="1"/>
      <w:marLeft w:val="0"/>
      <w:marRight w:val="0"/>
      <w:marTop w:val="0"/>
      <w:marBottom w:val="0"/>
      <w:divBdr>
        <w:top w:val="none" w:sz="0" w:space="0" w:color="auto"/>
        <w:left w:val="none" w:sz="0" w:space="0" w:color="auto"/>
        <w:bottom w:val="none" w:sz="0" w:space="0" w:color="auto"/>
        <w:right w:val="none" w:sz="0" w:space="0" w:color="auto"/>
      </w:divBdr>
      <w:divsChild>
        <w:div w:id="2054235401">
          <w:marLeft w:val="0"/>
          <w:marRight w:val="0"/>
          <w:marTop w:val="0"/>
          <w:marBottom w:val="0"/>
          <w:divBdr>
            <w:top w:val="none" w:sz="0" w:space="0" w:color="auto"/>
            <w:left w:val="none" w:sz="0" w:space="0" w:color="auto"/>
            <w:bottom w:val="none" w:sz="0" w:space="0" w:color="auto"/>
            <w:right w:val="none" w:sz="0" w:space="0" w:color="auto"/>
          </w:divBdr>
          <w:divsChild>
            <w:div w:id="1399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0092">
      <w:bodyDiv w:val="1"/>
      <w:marLeft w:val="0"/>
      <w:marRight w:val="0"/>
      <w:marTop w:val="0"/>
      <w:marBottom w:val="0"/>
      <w:divBdr>
        <w:top w:val="none" w:sz="0" w:space="0" w:color="auto"/>
        <w:left w:val="none" w:sz="0" w:space="0" w:color="auto"/>
        <w:bottom w:val="none" w:sz="0" w:space="0" w:color="auto"/>
        <w:right w:val="none" w:sz="0" w:space="0" w:color="auto"/>
      </w:divBdr>
      <w:divsChild>
        <w:div w:id="437527113">
          <w:marLeft w:val="0"/>
          <w:marRight w:val="0"/>
          <w:marTop w:val="0"/>
          <w:marBottom w:val="0"/>
          <w:divBdr>
            <w:top w:val="none" w:sz="0" w:space="0" w:color="auto"/>
            <w:left w:val="none" w:sz="0" w:space="0" w:color="auto"/>
            <w:bottom w:val="none" w:sz="0" w:space="0" w:color="auto"/>
            <w:right w:val="none" w:sz="0" w:space="0" w:color="auto"/>
          </w:divBdr>
          <w:divsChild>
            <w:div w:id="18349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57055">
      <w:bodyDiv w:val="1"/>
      <w:marLeft w:val="0"/>
      <w:marRight w:val="0"/>
      <w:marTop w:val="0"/>
      <w:marBottom w:val="0"/>
      <w:divBdr>
        <w:top w:val="none" w:sz="0" w:space="0" w:color="auto"/>
        <w:left w:val="none" w:sz="0" w:space="0" w:color="auto"/>
        <w:bottom w:val="none" w:sz="0" w:space="0" w:color="auto"/>
        <w:right w:val="none" w:sz="0" w:space="0" w:color="auto"/>
      </w:divBdr>
      <w:divsChild>
        <w:div w:id="597056177">
          <w:marLeft w:val="0"/>
          <w:marRight w:val="0"/>
          <w:marTop w:val="0"/>
          <w:marBottom w:val="0"/>
          <w:divBdr>
            <w:top w:val="none" w:sz="0" w:space="0" w:color="auto"/>
            <w:left w:val="none" w:sz="0" w:space="0" w:color="auto"/>
            <w:bottom w:val="none" w:sz="0" w:space="0" w:color="auto"/>
            <w:right w:val="none" w:sz="0" w:space="0" w:color="auto"/>
          </w:divBdr>
          <w:divsChild>
            <w:div w:id="10799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4687">
      <w:bodyDiv w:val="1"/>
      <w:marLeft w:val="0"/>
      <w:marRight w:val="0"/>
      <w:marTop w:val="0"/>
      <w:marBottom w:val="0"/>
      <w:divBdr>
        <w:top w:val="none" w:sz="0" w:space="0" w:color="auto"/>
        <w:left w:val="none" w:sz="0" w:space="0" w:color="auto"/>
        <w:bottom w:val="none" w:sz="0" w:space="0" w:color="auto"/>
        <w:right w:val="none" w:sz="0" w:space="0" w:color="auto"/>
      </w:divBdr>
      <w:divsChild>
        <w:div w:id="414136463">
          <w:marLeft w:val="0"/>
          <w:marRight w:val="0"/>
          <w:marTop w:val="0"/>
          <w:marBottom w:val="0"/>
          <w:divBdr>
            <w:top w:val="none" w:sz="0" w:space="0" w:color="auto"/>
            <w:left w:val="none" w:sz="0" w:space="0" w:color="auto"/>
            <w:bottom w:val="none" w:sz="0" w:space="0" w:color="auto"/>
            <w:right w:val="none" w:sz="0" w:space="0" w:color="auto"/>
          </w:divBdr>
          <w:divsChild>
            <w:div w:id="2470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6930">
      <w:bodyDiv w:val="1"/>
      <w:marLeft w:val="0"/>
      <w:marRight w:val="0"/>
      <w:marTop w:val="0"/>
      <w:marBottom w:val="0"/>
      <w:divBdr>
        <w:top w:val="none" w:sz="0" w:space="0" w:color="auto"/>
        <w:left w:val="none" w:sz="0" w:space="0" w:color="auto"/>
        <w:bottom w:val="none" w:sz="0" w:space="0" w:color="auto"/>
        <w:right w:val="none" w:sz="0" w:space="0" w:color="auto"/>
      </w:divBdr>
      <w:divsChild>
        <w:div w:id="919606366">
          <w:marLeft w:val="0"/>
          <w:marRight w:val="0"/>
          <w:marTop w:val="0"/>
          <w:marBottom w:val="0"/>
          <w:divBdr>
            <w:top w:val="none" w:sz="0" w:space="0" w:color="auto"/>
            <w:left w:val="none" w:sz="0" w:space="0" w:color="auto"/>
            <w:bottom w:val="none" w:sz="0" w:space="0" w:color="auto"/>
            <w:right w:val="none" w:sz="0" w:space="0" w:color="auto"/>
          </w:divBdr>
          <w:divsChild>
            <w:div w:id="19073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20039">
      <w:bodyDiv w:val="1"/>
      <w:marLeft w:val="0"/>
      <w:marRight w:val="0"/>
      <w:marTop w:val="0"/>
      <w:marBottom w:val="0"/>
      <w:divBdr>
        <w:top w:val="none" w:sz="0" w:space="0" w:color="auto"/>
        <w:left w:val="none" w:sz="0" w:space="0" w:color="auto"/>
        <w:bottom w:val="none" w:sz="0" w:space="0" w:color="auto"/>
        <w:right w:val="none" w:sz="0" w:space="0" w:color="auto"/>
      </w:divBdr>
      <w:divsChild>
        <w:div w:id="1734355890">
          <w:marLeft w:val="0"/>
          <w:marRight w:val="0"/>
          <w:marTop w:val="0"/>
          <w:marBottom w:val="0"/>
          <w:divBdr>
            <w:top w:val="none" w:sz="0" w:space="0" w:color="auto"/>
            <w:left w:val="none" w:sz="0" w:space="0" w:color="auto"/>
            <w:bottom w:val="none" w:sz="0" w:space="0" w:color="auto"/>
            <w:right w:val="none" w:sz="0" w:space="0" w:color="auto"/>
          </w:divBdr>
          <w:divsChild>
            <w:div w:id="10493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4802">
      <w:bodyDiv w:val="1"/>
      <w:marLeft w:val="0"/>
      <w:marRight w:val="0"/>
      <w:marTop w:val="0"/>
      <w:marBottom w:val="0"/>
      <w:divBdr>
        <w:top w:val="none" w:sz="0" w:space="0" w:color="auto"/>
        <w:left w:val="none" w:sz="0" w:space="0" w:color="auto"/>
        <w:bottom w:val="none" w:sz="0" w:space="0" w:color="auto"/>
        <w:right w:val="none" w:sz="0" w:space="0" w:color="auto"/>
      </w:divBdr>
      <w:divsChild>
        <w:div w:id="609044187">
          <w:marLeft w:val="0"/>
          <w:marRight w:val="0"/>
          <w:marTop w:val="0"/>
          <w:marBottom w:val="0"/>
          <w:divBdr>
            <w:top w:val="none" w:sz="0" w:space="0" w:color="auto"/>
            <w:left w:val="none" w:sz="0" w:space="0" w:color="auto"/>
            <w:bottom w:val="none" w:sz="0" w:space="0" w:color="auto"/>
            <w:right w:val="none" w:sz="0" w:space="0" w:color="auto"/>
          </w:divBdr>
          <w:divsChild>
            <w:div w:id="11189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3279">
      <w:bodyDiv w:val="1"/>
      <w:marLeft w:val="0"/>
      <w:marRight w:val="0"/>
      <w:marTop w:val="0"/>
      <w:marBottom w:val="0"/>
      <w:divBdr>
        <w:top w:val="none" w:sz="0" w:space="0" w:color="auto"/>
        <w:left w:val="none" w:sz="0" w:space="0" w:color="auto"/>
        <w:bottom w:val="none" w:sz="0" w:space="0" w:color="auto"/>
        <w:right w:val="none" w:sz="0" w:space="0" w:color="auto"/>
      </w:divBdr>
      <w:divsChild>
        <w:div w:id="1195654101">
          <w:marLeft w:val="0"/>
          <w:marRight w:val="0"/>
          <w:marTop w:val="0"/>
          <w:marBottom w:val="0"/>
          <w:divBdr>
            <w:top w:val="none" w:sz="0" w:space="0" w:color="auto"/>
            <w:left w:val="none" w:sz="0" w:space="0" w:color="auto"/>
            <w:bottom w:val="none" w:sz="0" w:space="0" w:color="auto"/>
            <w:right w:val="none" w:sz="0" w:space="0" w:color="auto"/>
          </w:divBdr>
          <w:divsChild>
            <w:div w:id="1334063366">
              <w:marLeft w:val="0"/>
              <w:marRight w:val="0"/>
              <w:marTop w:val="0"/>
              <w:marBottom w:val="0"/>
              <w:divBdr>
                <w:top w:val="none" w:sz="0" w:space="0" w:color="auto"/>
                <w:left w:val="none" w:sz="0" w:space="0" w:color="auto"/>
                <w:bottom w:val="none" w:sz="0" w:space="0" w:color="auto"/>
                <w:right w:val="none" w:sz="0" w:space="0" w:color="auto"/>
              </w:divBdr>
              <w:divsChild>
                <w:div w:id="12667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7540">
      <w:bodyDiv w:val="1"/>
      <w:marLeft w:val="0"/>
      <w:marRight w:val="0"/>
      <w:marTop w:val="0"/>
      <w:marBottom w:val="0"/>
      <w:divBdr>
        <w:top w:val="none" w:sz="0" w:space="0" w:color="auto"/>
        <w:left w:val="none" w:sz="0" w:space="0" w:color="auto"/>
        <w:bottom w:val="none" w:sz="0" w:space="0" w:color="auto"/>
        <w:right w:val="none" w:sz="0" w:space="0" w:color="auto"/>
      </w:divBdr>
      <w:divsChild>
        <w:div w:id="1041629247">
          <w:marLeft w:val="0"/>
          <w:marRight w:val="0"/>
          <w:marTop w:val="0"/>
          <w:marBottom w:val="0"/>
          <w:divBdr>
            <w:top w:val="none" w:sz="0" w:space="0" w:color="auto"/>
            <w:left w:val="none" w:sz="0" w:space="0" w:color="auto"/>
            <w:bottom w:val="none" w:sz="0" w:space="0" w:color="auto"/>
            <w:right w:val="none" w:sz="0" w:space="0" w:color="auto"/>
          </w:divBdr>
          <w:divsChild>
            <w:div w:id="975450614">
              <w:marLeft w:val="0"/>
              <w:marRight w:val="0"/>
              <w:marTop w:val="0"/>
              <w:marBottom w:val="0"/>
              <w:divBdr>
                <w:top w:val="none" w:sz="0" w:space="0" w:color="auto"/>
                <w:left w:val="none" w:sz="0" w:space="0" w:color="auto"/>
                <w:bottom w:val="none" w:sz="0" w:space="0" w:color="auto"/>
                <w:right w:val="none" w:sz="0" w:space="0" w:color="auto"/>
              </w:divBdr>
              <w:divsChild>
                <w:div w:id="44449076">
                  <w:marLeft w:val="0"/>
                  <w:marRight w:val="0"/>
                  <w:marTop w:val="0"/>
                  <w:marBottom w:val="0"/>
                  <w:divBdr>
                    <w:top w:val="none" w:sz="0" w:space="0" w:color="auto"/>
                    <w:left w:val="none" w:sz="0" w:space="0" w:color="auto"/>
                    <w:bottom w:val="none" w:sz="0" w:space="0" w:color="auto"/>
                    <w:right w:val="none" w:sz="0" w:space="0" w:color="auto"/>
                  </w:divBdr>
                </w:div>
                <w:div w:id="2070374519">
                  <w:marLeft w:val="0"/>
                  <w:marRight w:val="0"/>
                  <w:marTop w:val="0"/>
                  <w:marBottom w:val="0"/>
                  <w:divBdr>
                    <w:top w:val="none" w:sz="0" w:space="0" w:color="auto"/>
                    <w:left w:val="none" w:sz="0" w:space="0" w:color="auto"/>
                    <w:bottom w:val="none" w:sz="0" w:space="0" w:color="auto"/>
                    <w:right w:val="none" w:sz="0" w:space="0" w:color="auto"/>
                  </w:divBdr>
                </w:div>
              </w:divsChild>
            </w:div>
            <w:div w:id="1100250216">
              <w:marLeft w:val="0"/>
              <w:marRight w:val="0"/>
              <w:marTop w:val="0"/>
              <w:marBottom w:val="0"/>
              <w:divBdr>
                <w:top w:val="none" w:sz="0" w:space="0" w:color="auto"/>
                <w:left w:val="none" w:sz="0" w:space="0" w:color="auto"/>
                <w:bottom w:val="none" w:sz="0" w:space="0" w:color="auto"/>
                <w:right w:val="none" w:sz="0" w:space="0" w:color="auto"/>
              </w:divBdr>
              <w:divsChild>
                <w:div w:id="708260554">
                  <w:marLeft w:val="0"/>
                  <w:marRight w:val="0"/>
                  <w:marTop w:val="0"/>
                  <w:marBottom w:val="0"/>
                  <w:divBdr>
                    <w:top w:val="none" w:sz="0" w:space="0" w:color="auto"/>
                    <w:left w:val="none" w:sz="0" w:space="0" w:color="auto"/>
                    <w:bottom w:val="none" w:sz="0" w:space="0" w:color="auto"/>
                    <w:right w:val="none" w:sz="0" w:space="0" w:color="auto"/>
                  </w:divBdr>
                  <w:divsChild>
                    <w:div w:id="1072578429">
                      <w:marLeft w:val="0"/>
                      <w:marRight w:val="0"/>
                      <w:marTop w:val="0"/>
                      <w:marBottom w:val="0"/>
                      <w:divBdr>
                        <w:top w:val="none" w:sz="0" w:space="0" w:color="auto"/>
                        <w:left w:val="none" w:sz="0" w:space="0" w:color="auto"/>
                        <w:bottom w:val="none" w:sz="0" w:space="0" w:color="auto"/>
                        <w:right w:val="none" w:sz="0" w:space="0" w:color="auto"/>
                      </w:divBdr>
                    </w:div>
                  </w:divsChild>
                </w:div>
                <w:div w:id="269432021">
                  <w:marLeft w:val="0"/>
                  <w:marRight w:val="0"/>
                  <w:marTop w:val="0"/>
                  <w:marBottom w:val="0"/>
                  <w:divBdr>
                    <w:top w:val="none" w:sz="0" w:space="0" w:color="auto"/>
                    <w:left w:val="none" w:sz="0" w:space="0" w:color="auto"/>
                    <w:bottom w:val="none" w:sz="0" w:space="0" w:color="auto"/>
                    <w:right w:val="none" w:sz="0" w:space="0" w:color="auto"/>
                  </w:divBdr>
                  <w:divsChild>
                    <w:div w:id="80880539">
                      <w:marLeft w:val="0"/>
                      <w:marRight w:val="0"/>
                      <w:marTop w:val="0"/>
                      <w:marBottom w:val="0"/>
                      <w:divBdr>
                        <w:top w:val="none" w:sz="0" w:space="0" w:color="auto"/>
                        <w:left w:val="none" w:sz="0" w:space="0" w:color="auto"/>
                        <w:bottom w:val="none" w:sz="0" w:space="0" w:color="auto"/>
                        <w:right w:val="none" w:sz="0" w:space="0" w:color="auto"/>
                      </w:divBdr>
                    </w:div>
                  </w:divsChild>
                </w:div>
                <w:div w:id="17086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7921">
      <w:bodyDiv w:val="1"/>
      <w:marLeft w:val="0"/>
      <w:marRight w:val="0"/>
      <w:marTop w:val="0"/>
      <w:marBottom w:val="0"/>
      <w:divBdr>
        <w:top w:val="none" w:sz="0" w:space="0" w:color="auto"/>
        <w:left w:val="none" w:sz="0" w:space="0" w:color="auto"/>
        <w:bottom w:val="none" w:sz="0" w:space="0" w:color="auto"/>
        <w:right w:val="none" w:sz="0" w:space="0" w:color="auto"/>
      </w:divBdr>
      <w:divsChild>
        <w:div w:id="1553228419">
          <w:marLeft w:val="0"/>
          <w:marRight w:val="0"/>
          <w:marTop w:val="0"/>
          <w:marBottom w:val="0"/>
          <w:divBdr>
            <w:top w:val="none" w:sz="0" w:space="0" w:color="auto"/>
            <w:left w:val="none" w:sz="0" w:space="0" w:color="auto"/>
            <w:bottom w:val="none" w:sz="0" w:space="0" w:color="auto"/>
            <w:right w:val="none" w:sz="0" w:space="0" w:color="auto"/>
          </w:divBdr>
          <w:divsChild>
            <w:div w:id="8027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4344">
      <w:bodyDiv w:val="1"/>
      <w:marLeft w:val="0"/>
      <w:marRight w:val="0"/>
      <w:marTop w:val="0"/>
      <w:marBottom w:val="0"/>
      <w:divBdr>
        <w:top w:val="none" w:sz="0" w:space="0" w:color="auto"/>
        <w:left w:val="none" w:sz="0" w:space="0" w:color="auto"/>
        <w:bottom w:val="none" w:sz="0" w:space="0" w:color="auto"/>
        <w:right w:val="none" w:sz="0" w:space="0" w:color="auto"/>
      </w:divBdr>
      <w:divsChild>
        <w:div w:id="23753665">
          <w:marLeft w:val="0"/>
          <w:marRight w:val="0"/>
          <w:marTop w:val="0"/>
          <w:marBottom w:val="0"/>
          <w:divBdr>
            <w:top w:val="none" w:sz="0" w:space="0" w:color="auto"/>
            <w:left w:val="none" w:sz="0" w:space="0" w:color="auto"/>
            <w:bottom w:val="none" w:sz="0" w:space="0" w:color="auto"/>
            <w:right w:val="none" w:sz="0" w:space="0" w:color="auto"/>
          </w:divBdr>
          <w:divsChild>
            <w:div w:id="1801072536">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808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02882">
      <w:bodyDiv w:val="1"/>
      <w:marLeft w:val="0"/>
      <w:marRight w:val="0"/>
      <w:marTop w:val="0"/>
      <w:marBottom w:val="0"/>
      <w:divBdr>
        <w:top w:val="none" w:sz="0" w:space="0" w:color="auto"/>
        <w:left w:val="none" w:sz="0" w:space="0" w:color="auto"/>
        <w:bottom w:val="none" w:sz="0" w:space="0" w:color="auto"/>
        <w:right w:val="none" w:sz="0" w:space="0" w:color="auto"/>
      </w:divBdr>
      <w:divsChild>
        <w:div w:id="667245561">
          <w:marLeft w:val="0"/>
          <w:marRight w:val="0"/>
          <w:marTop w:val="0"/>
          <w:marBottom w:val="0"/>
          <w:divBdr>
            <w:top w:val="none" w:sz="0" w:space="0" w:color="auto"/>
            <w:left w:val="none" w:sz="0" w:space="0" w:color="auto"/>
            <w:bottom w:val="none" w:sz="0" w:space="0" w:color="auto"/>
            <w:right w:val="none" w:sz="0" w:space="0" w:color="auto"/>
          </w:divBdr>
          <w:divsChild>
            <w:div w:id="2105565031">
              <w:marLeft w:val="0"/>
              <w:marRight w:val="0"/>
              <w:marTop w:val="0"/>
              <w:marBottom w:val="0"/>
              <w:divBdr>
                <w:top w:val="none" w:sz="0" w:space="0" w:color="auto"/>
                <w:left w:val="none" w:sz="0" w:space="0" w:color="auto"/>
                <w:bottom w:val="none" w:sz="0" w:space="0" w:color="auto"/>
                <w:right w:val="none" w:sz="0" w:space="0" w:color="auto"/>
              </w:divBdr>
              <w:divsChild>
                <w:div w:id="290984921">
                  <w:marLeft w:val="0"/>
                  <w:marRight w:val="0"/>
                  <w:marTop w:val="0"/>
                  <w:marBottom w:val="0"/>
                  <w:divBdr>
                    <w:top w:val="none" w:sz="0" w:space="0" w:color="auto"/>
                    <w:left w:val="none" w:sz="0" w:space="0" w:color="auto"/>
                    <w:bottom w:val="none" w:sz="0" w:space="0" w:color="auto"/>
                    <w:right w:val="none" w:sz="0" w:space="0" w:color="auto"/>
                  </w:divBdr>
                  <w:divsChild>
                    <w:div w:id="1844660773">
                      <w:marLeft w:val="0"/>
                      <w:marRight w:val="0"/>
                      <w:marTop w:val="0"/>
                      <w:marBottom w:val="0"/>
                      <w:divBdr>
                        <w:top w:val="none" w:sz="0" w:space="0" w:color="auto"/>
                        <w:left w:val="none" w:sz="0" w:space="0" w:color="auto"/>
                        <w:bottom w:val="none" w:sz="0" w:space="0" w:color="auto"/>
                        <w:right w:val="none" w:sz="0" w:space="0" w:color="auto"/>
                      </w:divBdr>
                      <w:divsChild>
                        <w:div w:id="19247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79914">
      <w:bodyDiv w:val="1"/>
      <w:marLeft w:val="0"/>
      <w:marRight w:val="0"/>
      <w:marTop w:val="0"/>
      <w:marBottom w:val="0"/>
      <w:divBdr>
        <w:top w:val="none" w:sz="0" w:space="0" w:color="auto"/>
        <w:left w:val="none" w:sz="0" w:space="0" w:color="auto"/>
        <w:bottom w:val="none" w:sz="0" w:space="0" w:color="auto"/>
        <w:right w:val="none" w:sz="0" w:space="0" w:color="auto"/>
      </w:divBdr>
      <w:divsChild>
        <w:div w:id="248587416">
          <w:marLeft w:val="0"/>
          <w:marRight w:val="0"/>
          <w:marTop w:val="0"/>
          <w:marBottom w:val="0"/>
          <w:divBdr>
            <w:top w:val="none" w:sz="0" w:space="0" w:color="auto"/>
            <w:left w:val="none" w:sz="0" w:space="0" w:color="auto"/>
            <w:bottom w:val="none" w:sz="0" w:space="0" w:color="auto"/>
            <w:right w:val="none" w:sz="0" w:space="0" w:color="auto"/>
          </w:divBdr>
          <w:divsChild>
            <w:div w:id="614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7315">
      <w:bodyDiv w:val="1"/>
      <w:marLeft w:val="0"/>
      <w:marRight w:val="0"/>
      <w:marTop w:val="0"/>
      <w:marBottom w:val="0"/>
      <w:divBdr>
        <w:top w:val="none" w:sz="0" w:space="0" w:color="auto"/>
        <w:left w:val="none" w:sz="0" w:space="0" w:color="auto"/>
        <w:bottom w:val="none" w:sz="0" w:space="0" w:color="auto"/>
        <w:right w:val="none" w:sz="0" w:space="0" w:color="auto"/>
      </w:divBdr>
      <w:divsChild>
        <w:div w:id="339964329">
          <w:marLeft w:val="0"/>
          <w:marRight w:val="0"/>
          <w:marTop w:val="0"/>
          <w:marBottom w:val="0"/>
          <w:divBdr>
            <w:top w:val="none" w:sz="0" w:space="0" w:color="auto"/>
            <w:left w:val="none" w:sz="0" w:space="0" w:color="auto"/>
            <w:bottom w:val="none" w:sz="0" w:space="0" w:color="auto"/>
            <w:right w:val="none" w:sz="0" w:space="0" w:color="auto"/>
          </w:divBdr>
          <w:divsChild>
            <w:div w:id="1257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8022">
      <w:bodyDiv w:val="1"/>
      <w:marLeft w:val="0"/>
      <w:marRight w:val="0"/>
      <w:marTop w:val="0"/>
      <w:marBottom w:val="0"/>
      <w:divBdr>
        <w:top w:val="none" w:sz="0" w:space="0" w:color="auto"/>
        <w:left w:val="none" w:sz="0" w:space="0" w:color="auto"/>
        <w:bottom w:val="none" w:sz="0" w:space="0" w:color="auto"/>
        <w:right w:val="none" w:sz="0" w:space="0" w:color="auto"/>
      </w:divBdr>
      <w:divsChild>
        <w:div w:id="1008369332">
          <w:marLeft w:val="0"/>
          <w:marRight w:val="0"/>
          <w:marTop w:val="0"/>
          <w:marBottom w:val="0"/>
          <w:divBdr>
            <w:top w:val="none" w:sz="0" w:space="0" w:color="auto"/>
            <w:left w:val="none" w:sz="0" w:space="0" w:color="auto"/>
            <w:bottom w:val="none" w:sz="0" w:space="0" w:color="auto"/>
            <w:right w:val="none" w:sz="0" w:space="0" w:color="auto"/>
          </w:divBdr>
          <w:divsChild>
            <w:div w:id="15844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4647">
      <w:bodyDiv w:val="1"/>
      <w:marLeft w:val="0"/>
      <w:marRight w:val="0"/>
      <w:marTop w:val="0"/>
      <w:marBottom w:val="0"/>
      <w:divBdr>
        <w:top w:val="none" w:sz="0" w:space="0" w:color="auto"/>
        <w:left w:val="none" w:sz="0" w:space="0" w:color="auto"/>
        <w:bottom w:val="none" w:sz="0" w:space="0" w:color="auto"/>
        <w:right w:val="none" w:sz="0" w:space="0" w:color="auto"/>
      </w:divBdr>
      <w:divsChild>
        <w:div w:id="522089723">
          <w:marLeft w:val="0"/>
          <w:marRight w:val="0"/>
          <w:marTop w:val="0"/>
          <w:marBottom w:val="0"/>
          <w:divBdr>
            <w:top w:val="none" w:sz="0" w:space="0" w:color="auto"/>
            <w:left w:val="none" w:sz="0" w:space="0" w:color="auto"/>
            <w:bottom w:val="none" w:sz="0" w:space="0" w:color="auto"/>
            <w:right w:val="none" w:sz="0" w:space="0" w:color="auto"/>
          </w:divBdr>
          <w:divsChild>
            <w:div w:id="1702247295">
              <w:marLeft w:val="0"/>
              <w:marRight w:val="0"/>
              <w:marTop w:val="0"/>
              <w:marBottom w:val="0"/>
              <w:divBdr>
                <w:top w:val="none" w:sz="0" w:space="0" w:color="auto"/>
                <w:left w:val="none" w:sz="0" w:space="0" w:color="auto"/>
                <w:bottom w:val="none" w:sz="0" w:space="0" w:color="auto"/>
                <w:right w:val="none" w:sz="0" w:space="0" w:color="auto"/>
              </w:divBdr>
              <w:divsChild>
                <w:div w:id="10206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cs1.e-learningforhealthcare.org.uk/public/VTE_Public_Access/VTE_02_01/d/ELFH_Session/578/tab_775.html"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vtepreventionengland.org.uk/induction/obstetricpatients.pdf" TargetMode="External"/><Relationship Id="rId38" Type="http://schemas.openxmlformats.org/officeDocument/2006/relationships/hyperlink" Target="http://cs1.e-learningforhealthcare.org.uk/public/VTE_Public_Access/VTE_02_01/d/ELFH_Session/578/tab_775.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cs1.e-learningforhealthcare.org.uk/public/VTE_Public_Access/VTE_02_01/d/ELFH_Session/578/tab_775.html" TargetMode="External"/><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cs1.e-learningforhealthcare.org.uk/public/VTE_Public_Access/VTE_02_01/d/ELFH_Session/578/tab_775.html"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athways.nice.org.uk/pathways/venous-thromboembolism"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34</Pages>
  <Words>5051</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33781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JBeamish</dc:creator>
  <cp:lastModifiedBy>JBeamish</cp:lastModifiedBy>
  <cp:revision>10</cp:revision>
  <dcterms:created xsi:type="dcterms:W3CDTF">2019-03-26T08:11:00Z</dcterms:created>
  <dcterms:modified xsi:type="dcterms:W3CDTF">2019-03-27T07:15:00Z</dcterms:modified>
</cp:coreProperties>
</file>